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D08" w:rsidRPr="003270E3" w:rsidRDefault="00702D08" w:rsidP="00F91CF8">
      <w:pPr>
        <w:autoSpaceDE w:val="0"/>
        <w:autoSpaceDN w:val="0"/>
        <w:adjustRightInd w:val="0"/>
        <w:spacing w:before="0" w:beforeAutospacing="0" w:after="0" w:afterAutospacing="0" w:line="240" w:lineRule="auto"/>
        <w:jc w:val="center"/>
        <w:rPr>
          <w:rFonts w:ascii="Arial" w:hAnsi="Arial" w:cs="Arial"/>
          <w:b/>
          <w:bCs/>
          <w:color w:val="000000"/>
          <w:sz w:val="24"/>
          <w:szCs w:val="24"/>
          <w:lang w:val="es-NI"/>
        </w:rPr>
      </w:pPr>
      <w:r>
        <w:rPr>
          <w:rFonts w:ascii="Arial" w:hAnsi="Arial" w:cs="Arial"/>
          <w:b/>
          <w:bCs/>
          <w:color w:val="000000"/>
          <w:sz w:val="28"/>
          <w:szCs w:val="28"/>
          <w:lang w:val="es-NI"/>
        </w:rPr>
        <w:t>“</w:t>
      </w:r>
      <w:r w:rsidRPr="003270E3">
        <w:rPr>
          <w:rFonts w:ascii="Arial" w:hAnsi="Arial" w:cs="Arial"/>
          <w:b/>
          <w:bCs/>
          <w:color w:val="000000"/>
          <w:sz w:val="24"/>
          <w:szCs w:val="24"/>
          <w:lang w:val="es-NI"/>
        </w:rPr>
        <w:t>CONSULTORÍA ESTUDIO DE MEDICIÓN DEL GASTO DE LA RESPUESTA NACIONAL A LA TUBERCULOSIS”</w:t>
      </w:r>
    </w:p>
    <w:p w:rsidR="00702D08" w:rsidRPr="003270E3" w:rsidRDefault="00702D08" w:rsidP="00702D08">
      <w:pPr>
        <w:autoSpaceDE w:val="0"/>
        <w:autoSpaceDN w:val="0"/>
        <w:adjustRightInd w:val="0"/>
        <w:spacing w:before="0" w:beforeAutospacing="0" w:after="0" w:afterAutospacing="0"/>
        <w:jc w:val="center"/>
        <w:rPr>
          <w:rFonts w:ascii="Arial" w:hAnsi="Arial" w:cs="Arial"/>
          <w:b/>
          <w:bCs/>
          <w:color w:val="000000"/>
          <w:sz w:val="24"/>
          <w:szCs w:val="24"/>
          <w:lang w:val="es-NI"/>
        </w:rPr>
      </w:pPr>
    </w:p>
    <w:p w:rsidR="00702D08" w:rsidRPr="003270E3" w:rsidRDefault="00702D08" w:rsidP="00702D08">
      <w:pPr>
        <w:autoSpaceDE w:val="0"/>
        <w:autoSpaceDN w:val="0"/>
        <w:adjustRightInd w:val="0"/>
        <w:spacing w:before="0" w:beforeAutospacing="0" w:after="0" w:afterAutospacing="0"/>
        <w:jc w:val="center"/>
        <w:rPr>
          <w:rFonts w:ascii="Arial" w:hAnsi="Arial" w:cs="Arial"/>
          <w:b/>
          <w:bCs/>
          <w:color w:val="000000"/>
          <w:sz w:val="24"/>
          <w:szCs w:val="24"/>
          <w:lang w:val="es-NI"/>
        </w:rPr>
      </w:pPr>
      <w:r w:rsidRPr="003270E3">
        <w:rPr>
          <w:rFonts w:ascii="Arial" w:hAnsi="Arial" w:cs="Arial"/>
          <w:b/>
          <w:bCs/>
          <w:color w:val="000000"/>
          <w:sz w:val="24"/>
          <w:szCs w:val="24"/>
          <w:lang w:val="es-NI"/>
        </w:rPr>
        <w:t>PROCESO No. NIC-T-INSS-1042-AD-039-2018</w:t>
      </w:r>
    </w:p>
    <w:p w:rsidR="00702D08" w:rsidRPr="003270E3" w:rsidRDefault="00702D08" w:rsidP="00702D08">
      <w:pPr>
        <w:autoSpaceDE w:val="0"/>
        <w:autoSpaceDN w:val="0"/>
        <w:adjustRightInd w:val="0"/>
        <w:spacing w:before="0" w:beforeAutospacing="0" w:after="0" w:afterAutospacing="0"/>
        <w:jc w:val="center"/>
        <w:rPr>
          <w:rFonts w:ascii="Arial" w:hAnsi="Arial" w:cs="Arial"/>
          <w:b/>
          <w:bCs/>
          <w:color w:val="000000"/>
          <w:sz w:val="24"/>
          <w:szCs w:val="24"/>
          <w:lang w:val="es-NI"/>
        </w:rPr>
      </w:pPr>
    </w:p>
    <w:p w:rsidR="00702D08" w:rsidRDefault="00702D08" w:rsidP="00702D08">
      <w:pPr>
        <w:autoSpaceDE w:val="0"/>
        <w:autoSpaceDN w:val="0"/>
        <w:adjustRightInd w:val="0"/>
        <w:spacing w:before="0" w:beforeAutospacing="0" w:after="0" w:afterAutospacing="0"/>
        <w:jc w:val="left"/>
        <w:rPr>
          <w:rFonts w:ascii="Arial" w:hAnsi="Arial" w:cs="Arial"/>
          <w:b/>
          <w:bCs/>
          <w:color w:val="000000"/>
          <w:sz w:val="24"/>
          <w:szCs w:val="24"/>
          <w:lang w:val="es-NI"/>
        </w:rPr>
      </w:pPr>
    </w:p>
    <w:p w:rsidR="00702D08" w:rsidRPr="003270E3" w:rsidRDefault="00702D08" w:rsidP="00F91CF8">
      <w:pPr>
        <w:autoSpaceDE w:val="0"/>
        <w:autoSpaceDN w:val="0"/>
        <w:adjustRightInd w:val="0"/>
        <w:spacing w:before="0" w:beforeAutospacing="0" w:after="0" w:afterAutospacing="0" w:line="240" w:lineRule="auto"/>
        <w:rPr>
          <w:rFonts w:ascii="Times New Roman" w:hAnsi="Times New Roman" w:cs="Times New Roman"/>
          <w:sz w:val="24"/>
          <w:szCs w:val="24"/>
          <w:lang w:val="es-NI"/>
        </w:rPr>
      </w:pPr>
      <w:r w:rsidRPr="003270E3">
        <w:rPr>
          <w:rFonts w:ascii="Arial" w:hAnsi="Arial" w:cs="Arial"/>
          <w:bCs/>
          <w:color w:val="000000"/>
          <w:sz w:val="24"/>
          <w:szCs w:val="24"/>
          <w:lang w:val="es-NI"/>
        </w:rPr>
        <w:t>“</w:t>
      </w:r>
      <w:r w:rsidRPr="003270E3">
        <w:rPr>
          <w:sz w:val="24"/>
          <w:szCs w:val="24"/>
        </w:rPr>
        <w:t xml:space="preserve">NICARAGUA ARTICULADA PARA UNA RESPUESTA NACIONAL SOSTENIBLE EN </w:t>
      </w:r>
      <w:r w:rsidR="00783E4F" w:rsidRPr="003270E3">
        <w:rPr>
          <w:sz w:val="24"/>
          <w:szCs w:val="24"/>
        </w:rPr>
        <w:t>LA REDUCCIÓN</w:t>
      </w:r>
      <w:r w:rsidRPr="003270E3">
        <w:rPr>
          <w:sz w:val="24"/>
          <w:szCs w:val="24"/>
        </w:rPr>
        <w:t xml:space="preserve"> DE LA TUBERCULOSIS Y LA MORTALIDAD, CON ÉNFASIS EN POBLACIONES VULNERABLES BASADO EN EL MODELO DE SALUD   FAMILIAR Y COMUNITARIO” (2016-2018</w:t>
      </w:r>
      <w:r w:rsidRPr="003270E3">
        <w:rPr>
          <w:rFonts w:ascii="Arial" w:hAnsi="Arial" w:cs="Arial"/>
          <w:bCs/>
          <w:color w:val="000000"/>
          <w:sz w:val="24"/>
          <w:szCs w:val="24"/>
          <w:lang w:val="es-NI"/>
        </w:rPr>
        <w:t>)</w:t>
      </w:r>
      <w:r w:rsidR="00F91CF8" w:rsidRPr="003270E3">
        <w:rPr>
          <w:rFonts w:ascii="Arial" w:hAnsi="Arial" w:cs="Arial"/>
          <w:bCs/>
          <w:color w:val="000000"/>
          <w:sz w:val="24"/>
          <w:szCs w:val="24"/>
          <w:lang w:val="es-NI"/>
        </w:rPr>
        <w:t>”</w:t>
      </w:r>
      <w:r w:rsidRPr="003270E3">
        <w:rPr>
          <w:rFonts w:ascii="Arial" w:hAnsi="Arial" w:cs="Arial"/>
          <w:bCs/>
          <w:color w:val="000000"/>
          <w:sz w:val="24"/>
          <w:szCs w:val="24"/>
          <w:lang w:val="es-NI"/>
        </w:rPr>
        <w:t>.</w:t>
      </w:r>
    </w:p>
    <w:p w:rsidR="003270E3" w:rsidRDefault="003270E3" w:rsidP="00702D08">
      <w:pPr>
        <w:jc w:val="center"/>
        <w:rPr>
          <w:b/>
          <w:sz w:val="20"/>
          <w:szCs w:val="20"/>
        </w:rPr>
      </w:pPr>
    </w:p>
    <w:p w:rsidR="00702D08" w:rsidRDefault="00702D08" w:rsidP="00702D08">
      <w:pPr>
        <w:jc w:val="center"/>
        <w:rPr>
          <w:b/>
          <w:sz w:val="20"/>
          <w:szCs w:val="20"/>
        </w:rPr>
      </w:pPr>
      <w:r w:rsidRPr="00F91CF8">
        <w:rPr>
          <w:b/>
          <w:sz w:val="20"/>
          <w:szCs w:val="20"/>
        </w:rPr>
        <w:t xml:space="preserve">Financiado por el </w:t>
      </w:r>
      <w:r w:rsidR="003270E3">
        <w:rPr>
          <w:b/>
          <w:sz w:val="20"/>
          <w:szCs w:val="20"/>
        </w:rPr>
        <w:t>“Fondo Mundial de Lucha contra e</w:t>
      </w:r>
      <w:r w:rsidRPr="00F91CF8">
        <w:rPr>
          <w:b/>
          <w:sz w:val="20"/>
          <w:szCs w:val="20"/>
        </w:rPr>
        <w:t>l SIDA, la Tuberculosis y la Malaria</w:t>
      </w:r>
    </w:p>
    <w:p w:rsidR="00F91CF8" w:rsidRDefault="00F91CF8" w:rsidP="00702D08">
      <w:pPr>
        <w:jc w:val="center"/>
        <w:rPr>
          <w:b/>
          <w:sz w:val="20"/>
          <w:szCs w:val="20"/>
        </w:rPr>
      </w:pPr>
    </w:p>
    <w:p w:rsidR="00F91CF8" w:rsidRPr="00F91CF8" w:rsidRDefault="00F91CF8" w:rsidP="00702D08">
      <w:pPr>
        <w:jc w:val="center"/>
        <w:rPr>
          <w:b/>
          <w:sz w:val="20"/>
          <w:szCs w:val="20"/>
        </w:rPr>
      </w:pPr>
    </w:p>
    <w:p w:rsidR="00702D08" w:rsidRPr="00F34C92" w:rsidRDefault="00702D08" w:rsidP="00702D08">
      <w:pPr>
        <w:pStyle w:val="Ttulo"/>
        <w:pBdr>
          <w:bottom w:val="single" w:sz="8" w:space="31" w:color="5B9BD5" w:themeColor="accent1"/>
        </w:pBdr>
        <w:tabs>
          <w:tab w:val="left" w:pos="3720"/>
        </w:tabs>
        <w:spacing w:before="100" w:after="100"/>
        <w:rPr>
          <w:sz w:val="16"/>
          <w:szCs w:val="16"/>
        </w:rPr>
      </w:pPr>
      <w:r>
        <w:rPr>
          <w:sz w:val="16"/>
          <w:szCs w:val="16"/>
        </w:rPr>
        <w:tab/>
      </w:r>
    </w:p>
    <w:p w:rsidR="00CA457F" w:rsidRPr="003270E3" w:rsidRDefault="00CA457F" w:rsidP="00CA457F">
      <w:pPr>
        <w:shd w:val="clear" w:color="auto" w:fill="9CC2E5" w:themeFill="accent1" w:themeFillTint="99"/>
        <w:spacing w:before="0" w:beforeAutospacing="0" w:after="0" w:afterAutospacing="0"/>
        <w:jc w:val="center"/>
        <w:rPr>
          <w:b/>
          <w:sz w:val="36"/>
          <w:szCs w:val="32"/>
        </w:rPr>
      </w:pPr>
      <w:r w:rsidRPr="003270E3">
        <w:rPr>
          <w:b/>
          <w:sz w:val="36"/>
          <w:szCs w:val="32"/>
        </w:rPr>
        <w:t xml:space="preserve">Estudio Medición del Gasto </w:t>
      </w:r>
      <w:r w:rsidR="003270E3" w:rsidRPr="003270E3">
        <w:rPr>
          <w:rFonts w:ascii="Arial" w:hAnsi="Arial" w:cs="Arial"/>
          <w:b/>
          <w:bCs/>
          <w:color w:val="000000"/>
          <w:sz w:val="32"/>
          <w:szCs w:val="28"/>
          <w:lang w:val="es-NI"/>
        </w:rPr>
        <w:t>de La Respuesta Nacional a la Tuberculosis</w:t>
      </w:r>
    </w:p>
    <w:p w:rsidR="00CA457F" w:rsidRPr="003270E3" w:rsidRDefault="00CA457F" w:rsidP="00CA457F">
      <w:pPr>
        <w:shd w:val="clear" w:color="auto" w:fill="9CC2E5" w:themeFill="accent1" w:themeFillTint="99"/>
        <w:spacing w:before="0" w:beforeAutospacing="0" w:after="0" w:afterAutospacing="0"/>
        <w:jc w:val="center"/>
        <w:rPr>
          <w:b/>
          <w:sz w:val="36"/>
          <w:szCs w:val="32"/>
        </w:rPr>
      </w:pPr>
      <w:r w:rsidRPr="003270E3">
        <w:rPr>
          <w:b/>
          <w:sz w:val="36"/>
          <w:szCs w:val="32"/>
        </w:rPr>
        <w:t>Nicaragua 2016-2017</w:t>
      </w:r>
    </w:p>
    <w:p w:rsidR="00702D08" w:rsidRPr="003270E3" w:rsidRDefault="00555730" w:rsidP="00CA457F">
      <w:pPr>
        <w:spacing w:before="0" w:beforeAutospacing="0" w:after="0" w:afterAutospacing="0"/>
        <w:jc w:val="center"/>
        <w:rPr>
          <w:b/>
          <w:sz w:val="36"/>
          <w:szCs w:val="32"/>
        </w:rPr>
      </w:pPr>
      <w:r>
        <w:rPr>
          <w:b/>
          <w:sz w:val="36"/>
          <w:szCs w:val="32"/>
        </w:rPr>
        <w:pict>
          <v:rect id="_x0000_i1025" style="width:0;height:1.5pt" o:hralign="center" o:hrstd="t" o:hr="t" fillcolor="#a0a0a0" stroked="f"/>
        </w:pict>
      </w:r>
    </w:p>
    <w:p w:rsidR="00702D08" w:rsidRDefault="00E20C85" w:rsidP="00CA457F">
      <w:pPr>
        <w:spacing w:before="0" w:beforeAutospacing="0" w:after="200" w:afterAutospacing="0" w:line="276" w:lineRule="auto"/>
        <w:jc w:val="center"/>
      </w:pPr>
      <w:r>
        <w:t xml:space="preserve"> Informe</w:t>
      </w:r>
      <w:r w:rsidR="00783E4F">
        <w:t xml:space="preserve"> Final</w:t>
      </w:r>
    </w:p>
    <w:p w:rsidR="00E20C85" w:rsidRDefault="00E20C85" w:rsidP="00702D08">
      <w:pPr>
        <w:spacing w:before="0" w:beforeAutospacing="0" w:after="200" w:afterAutospacing="0" w:line="276" w:lineRule="auto"/>
        <w:jc w:val="left"/>
      </w:pPr>
    </w:p>
    <w:p w:rsidR="00702D08" w:rsidRPr="000701C7" w:rsidRDefault="00702D08" w:rsidP="00702D08">
      <w:pPr>
        <w:spacing w:before="0" w:beforeAutospacing="0" w:after="200" w:afterAutospacing="0" w:line="276" w:lineRule="auto"/>
        <w:jc w:val="left"/>
      </w:pPr>
      <w:r w:rsidRPr="000701C7">
        <w:t>Consultora: Maybolls Carras</w:t>
      </w:r>
      <w:r>
        <w:t>c</w:t>
      </w:r>
      <w:r w:rsidRPr="000701C7">
        <w:t>o</w:t>
      </w:r>
    </w:p>
    <w:p w:rsidR="003B6FA9" w:rsidRPr="000701C7" w:rsidRDefault="00E20C85" w:rsidP="00FF5672">
      <w:pPr>
        <w:rPr>
          <w:sz w:val="36"/>
        </w:rPr>
      </w:pPr>
      <w:r>
        <w:t>Noviembre</w:t>
      </w:r>
      <w:r w:rsidR="00C60A98">
        <w:t xml:space="preserve"> </w:t>
      </w:r>
      <w:r w:rsidR="00702D08">
        <w:t>2018</w:t>
      </w:r>
    </w:p>
    <w:p w:rsidR="00733923" w:rsidRDefault="003067AA" w:rsidP="00CA457F">
      <w:r>
        <w:br w:type="page"/>
      </w:r>
      <w:r w:rsidR="008145F2">
        <w:lastRenderedPageBreak/>
        <w:t>CONTENIDO</w:t>
      </w:r>
    </w:p>
    <w:p w:rsidR="00B448EE" w:rsidRDefault="00C070A3">
      <w:pPr>
        <w:pStyle w:val="TDC1"/>
        <w:rPr>
          <w:rFonts w:asciiTheme="minorHAnsi" w:eastAsiaTheme="minorEastAsia" w:hAnsiTheme="minorHAnsi"/>
          <w:noProof/>
          <w:lang w:val="es-NI" w:eastAsia="es-NI"/>
        </w:rPr>
      </w:pPr>
      <w:r>
        <w:fldChar w:fldCharType="begin"/>
      </w:r>
      <w:r w:rsidR="00733923">
        <w:instrText xml:space="preserve"> TOC \o "1-3" \h \z \u </w:instrText>
      </w:r>
      <w:r>
        <w:fldChar w:fldCharType="separate"/>
      </w:r>
      <w:hyperlink w:anchor="_Toc529102100" w:history="1">
        <w:r w:rsidR="00B448EE" w:rsidRPr="00C93A7B">
          <w:rPr>
            <w:rStyle w:val="Hipervnculo"/>
            <w:noProof/>
          </w:rPr>
          <w:t>SIGLAS</w:t>
        </w:r>
        <w:r w:rsidR="00B448EE">
          <w:rPr>
            <w:noProof/>
            <w:webHidden/>
          </w:rPr>
          <w:tab/>
        </w:r>
        <w:r>
          <w:rPr>
            <w:noProof/>
            <w:webHidden/>
          </w:rPr>
          <w:fldChar w:fldCharType="begin"/>
        </w:r>
        <w:r w:rsidR="00B448EE">
          <w:rPr>
            <w:noProof/>
            <w:webHidden/>
          </w:rPr>
          <w:instrText xml:space="preserve"> PAGEREF _Toc529102100 \h </w:instrText>
        </w:r>
        <w:r>
          <w:rPr>
            <w:noProof/>
            <w:webHidden/>
          </w:rPr>
        </w:r>
        <w:r>
          <w:rPr>
            <w:noProof/>
            <w:webHidden/>
          </w:rPr>
          <w:fldChar w:fldCharType="separate"/>
        </w:r>
        <w:r w:rsidR="00B448EE">
          <w:rPr>
            <w:noProof/>
            <w:webHidden/>
          </w:rPr>
          <w:t>3</w:t>
        </w:r>
        <w:r>
          <w:rPr>
            <w:noProof/>
            <w:webHidden/>
          </w:rPr>
          <w:fldChar w:fldCharType="end"/>
        </w:r>
      </w:hyperlink>
    </w:p>
    <w:p w:rsidR="00B448EE" w:rsidRDefault="00555730">
      <w:pPr>
        <w:pStyle w:val="TDC1"/>
        <w:rPr>
          <w:rFonts w:asciiTheme="minorHAnsi" w:eastAsiaTheme="minorEastAsia" w:hAnsiTheme="minorHAnsi"/>
          <w:noProof/>
          <w:lang w:val="es-NI" w:eastAsia="es-NI"/>
        </w:rPr>
      </w:pPr>
      <w:hyperlink w:anchor="_Toc529102101" w:history="1">
        <w:r w:rsidR="00B448EE" w:rsidRPr="00C93A7B">
          <w:rPr>
            <w:rStyle w:val="Hipervnculo"/>
            <w:noProof/>
          </w:rPr>
          <w:t>INTRODUCCIÓN</w:t>
        </w:r>
        <w:r w:rsidR="00B448EE">
          <w:rPr>
            <w:noProof/>
            <w:webHidden/>
          </w:rPr>
          <w:tab/>
        </w:r>
        <w:r w:rsidR="00C070A3">
          <w:rPr>
            <w:noProof/>
            <w:webHidden/>
          </w:rPr>
          <w:fldChar w:fldCharType="begin"/>
        </w:r>
        <w:r w:rsidR="00B448EE">
          <w:rPr>
            <w:noProof/>
            <w:webHidden/>
          </w:rPr>
          <w:instrText xml:space="preserve"> PAGEREF _Toc529102101 \h </w:instrText>
        </w:r>
        <w:r w:rsidR="00C070A3">
          <w:rPr>
            <w:noProof/>
            <w:webHidden/>
          </w:rPr>
        </w:r>
        <w:r w:rsidR="00C070A3">
          <w:rPr>
            <w:noProof/>
            <w:webHidden/>
          </w:rPr>
          <w:fldChar w:fldCharType="separate"/>
        </w:r>
        <w:r w:rsidR="00B448EE">
          <w:rPr>
            <w:noProof/>
            <w:webHidden/>
          </w:rPr>
          <w:t>4</w:t>
        </w:r>
        <w:r w:rsidR="00C070A3">
          <w:rPr>
            <w:noProof/>
            <w:webHidden/>
          </w:rPr>
          <w:fldChar w:fldCharType="end"/>
        </w:r>
      </w:hyperlink>
    </w:p>
    <w:p w:rsidR="00B448EE" w:rsidRDefault="00555730">
      <w:pPr>
        <w:pStyle w:val="TDC1"/>
        <w:rPr>
          <w:rFonts w:asciiTheme="minorHAnsi" w:eastAsiaTheme="minorEastAsia" w:hAnsiTheme="minorHAnsi"/>
          <w:noProof/>
          <w:lang w:val="es-NI" w:eastAsia="es-NI"/>
        </w:rPr>
      </w:pPr>
      <w:hyperlink w:anchor="_Toc529102102" w:history="1">
        <w:r w:rsidR="00B448EE" w:rsidRPr="00C93A7B">
          <w:rPr>
            <w:rStyle w:val="Hipervnculo"/>
            <w:noProof/>
          </w:rPr>
          <w:t>OBJETIVOS DEL ESTUDIO DE MEDICIÓN DEL GASTO EN TUBERCULOSIS</w:t>
        </w:r>
        <w:r w:rsidR="00B448EE">
          <w:rPr>
            <w:noProof/>
            <w:webHidden/>
          </w:rPr>
          <w:tab/>
        </w:r>
        <w:r w:rsidR="00C070A3">
          <w:rPr>
            <w:noProof/>
            <w:webHidden/>
          </w:rPr>
          <w:fldChar w:fldCharType="begin"/>
        </w:r>
        <w:r w:rsidR="00B448EE">
          <w:rPr>
            <w:noProof/>
            <w:webHidden/>
          </w:rPr>
          <w:instrText xml:space="preserve"> PAGEREF _Toc529102102 \h </w:instrText>
        </w:r>
        <w:r w:rsidR="00C070A3">
          <w:rPr>
            <w:noProof/>
            <w:webHidden/>
          </w:rPr>
        </w:r>
        <w:r w:rsidR="00C070A3">
          <w:rPr>
            <w:noProof/>
            <w:webHidden/>
          </w:rPr>
          <w:fldChar w:fldCharType="separate"/>
        </w:r>
        <w:r w:rsidR="00B448EE">
          <w:rPr>
            <w:noProof/>
            <w:webHidden/>
          </w:rPr>
          <w:t>6</w:t>
        </w:r>
        <w:r w:rsidR="00C070A3">
          <w:rPr>
            <w:noProof/>
            <w:webHidden/>
          </w:rPr>
          <w:fldChar w:fldCharType="end"/>
        </w:r>
      </w:hyperlink>
    </w:p>
    <w:p w:rsidR="00B448EE" w:rsidRDefault="00555730">
      <w:pPr>
        <w:pStyle w:val="TDC1"/>
        <w:rPr>
          <w:rFonts w:asciiTheme="minorHAnsi" w:eastAsiaTheme="minorEastAsia" w:hAnsiTheme="minorHAnsi"/>
          <w:noProof/>
          <w:lang w:val="es-NI" w:eastAsia="es-NI"/>
        </w:rPr>
      </w:pPr>
      <w:hyperlink w:anchor="_Toc529102103" w:history="1">
        <w:r w:rsidR="00B448EE" w:rsidRPr="00C93A7B">
          <w:rPr>
            <w:rStyle w:val="Hipervnculo"/>
            <w:noProof/>
          </w:rPr>
          <w:t>METODOLOGÍA</w:t>
        </w:r>
        <w:r w:rsidR="00B448EE">
          <w:rPr>
            <w:noProof/>
            <w:webHidden/>
          </w:rPr>
          <w:tab/>
        </w:r>
        <w:r w:rsidR="00C070A3">
          <w:rPr>
            <w:noProof/>
            <w:webHidden/>
          </w:rPr>
          <w:fldChar w:fldCharType="begin"/>
        </w:r>
        <w:r w:rsidR="00B448EE">
          <w:rPr>
            <w:noProof/>
            <w:webHidden/>
          </w:rPr>
          <w:instrText xml:space="preserve"> PAGEREF _Toc529102103 \h </w:instrText>
        </w:r>
        <w:r w:rsidR="00C070A3">
          <w:rPr>
            <w:noProof/>
            <w:webHidden/>
          </w:rPr>
        </w:r>
        <w:r w:rsidR="00C070A3">
          <w:rPr>
            <w:noProof/>
            <w:webHidden/>
          </w:rPr>
          <w:fldChar w:fldCharType="separate"/>
        </w:r>
        <w:r w:rsidR="00B448EE">
          <w:rPr>
            <w:noProof/>
            <w:webHidden/>
          </w:rPr>
          <w:t>6</w:t>
        </w:r>
        <w:r w:rsidR="00C070A3">
          <w:rPr>
            <w:noProof/>
            <w:webHidden/>
          </w:rPr>
          <w:fldChar w:fldCharType="end"/>
        </w:r>
      </w:hyperlink>
    </w:p>
    <w:p w:rsidR="00B448EE" w:rsidRDefault="00555730">
      <w:pPr>
        <w:pStyle w:val="TDC2"/>
        <w:rPr>
          <w:rFonts w:asciiTheme="minorHAnsi" w:eastAsiaTheme="minorEastAsia" w:hAnsiTheme="minorHAnsi"/>
          <w:noProof/>
          <w:lang w:val="es-NI" w:eastAsia="es-NI"/>
        </w:rPr>
      </w:pPr>
      <w:hyperlink w:anchor="_Toc529102104" w:history="1">
        <w:r w:rsidR="00B448EE" w:rsidRPr="00B448EE">
          <w:rPr>
            <w:rStyle w:val="Hipervnculo"/>
            <w:noProof/>
          </w:rPr>
          <w:t>METODOLOGÍA DE TRABAJO</w:t>
        </w:r>
        <w:r w:rsidR="00B448EE">
          <w:rPr>
            <w:noProof/>
            <w:webHidden/>
          </w:rPr>
          <w:tab/>
        </w:r>
        <w:r w:rsidR="00C070A3">
          <w:rPr>
            <w:noProof/>
            <w:webHidden/>
          </w:rPr>
          <w:fldChar w:fldCharType="begin"/>
        </w:r>
        <w:r w:rsidR="00B448EE">
          <w:rPr>
            <w:noProof/>
            <w:webHidden/>
          </w:rPr>
          <w:instrText xml:space="preserve"> PAGEREF _Toc529102104 \h </w:instrText>
        </w:r>
        <w:r w:rsidR="00C070A3">
          <w:rPr>
            <w:noProof/>
            <w:webHidden/>
          </w:rPr>
        </w:r>
        <w:r w:rsidR="00C070A3">
          <w:rPr>
            <w:noProof/>
            <w:webHidden/>
          </w:rPr>
          <w:fldChar w:fldCharType="separate"/>
        </w:r>
        <w:r w:rsidR="00B448EE">
          <w:rPr>
            <w:noProof/>
            <w:webHidden/>
          </w:rPr>
          <w:t>9</w:t>
        </w:r>
        <w:r w:rsidR="00C070A3">
          <w:rPr>
            <w:noProof/>
            <w:webHidden/>
          </w:rPr>
          <w:fldChar w:fldCharType="end"/>
        </w:r>
      </w:hyperlink>
    </w:p>
    <w:p w:rsidR="00B448EE" w:rsidRDefault="00555730">
      <w:pPr>
        <w:pStyle w:val="TDC1"/>
        <w:rPr>
          <w:rFonts w:asciiTheme="minorHAnsi" w:eastAsiaTheme="minorEastAsia" w:hAnsiTheme="minorHAnsi"/>
          <w:noProof/>
          <w:lang w:val="es-NI" w:eastAsia="es-NI"/>
        </w:rPr>
      </w:pPr>
      <w:hyperlink w:anchor="_Toc529102105" w:history="1">
        <w:r w:rsidR="00B448EE" w:rsidRPr="00C93A7B">
          <w:rPr>
            <w:rStyle w:val="Hipervnculo"/>
            <w:noProof/>
          </w:rPr>
          <w:t>SITUACIÓN EPIDEMIOLÓGICA</w:t>
        </w:r>
        <w:r w:rsidR="00B448EE">
          <w:rPr>
            <w:noProof/>
            <w:webHidden/>
          </w:rPr>
          <w:tab/>
        </w:r>
        <w:r w:rsidR="00C070A3">
          <w:rPr>
            <w:noProof/>
            <w:webHidden/>
          </w:rPr>
          <w:fldChar w:fldCharType="begin"/>
        </w:r>
        <w:r w:rsidR="00B448EE">
          <w:rPr>
            <w:noProof/>
            <w:webHidden/>
          </w:rPr>
          <w:instrText xml:space="preserve"> PAGEREF _Toc529102105 \h </w:instrText>
        </w:r>
        <w:r w:rsidR="00C070A3">
          <w:rPr>
            <w:noProof/>
            <w:webHidden/>
          </w:rPr>
        </w:r>
        <w:r w:rsidR="00C070A3">
          <w:rPr>
            <w:noProof/>
            <w:webHidden/>
          </w:rPr>
          <w:fldChar w:fldCharType="separate"/>
        </w:r>
        <w:r w:rsidR="00B448EE">
          <w:rPr>
            <w:noProof/>
            <w:webHidden/>
          </w:rPr>
          <w:t>13</w:t>
        </w:r>
        <w:r w:rsidR="00C070A3">
          <w:rPr>
            <w:noProof/>
            <w:webHidden/>
          </w:rPr>
          <w:fldChar w:fldCharType="end"/>
        </w:r>
      </w:hyperlink>
    </w:p>
    <w:p w:rsidR="00B448EE" w:rsidRDefault="00555730">
      <w:pPr>
        <w:pStyle w:val="TDC1"/>
        <w:rPr>
          <w:rFonts w:asciiTheme="minorHAnsi" w:eastAsiaTheme="minorEastAsia" w:hAnsiTheme="minorHAnsi"/>
          <w:noProof/>
          <w:lang w:val="es-NI" w:eastAsia="es-NI"/>
        </w:rPr>
      </w:pPr>
      <w:hyperlink w:anchor="_Toc529102106" w:history="1">
        <w:r w:rsidR="00B448EE" w:rsidRPr="00C93A7B">
          <w:rPr>
            <w:rStyle w:val="Hipervnculo"/>
            <w:noProof/>
            <w:lang w:val="es-HN"/>
          </w:rPr>
          <w:t>RESULTADOS</w:t>
        </w:r>
        <w:r w:rsidR="00B448EE">
          <w:rPr>
            <w:noProof/>
            <w:webHidden/>
          </w:rPr>
          <w:tab/>
        </w:r>
        <w:r w:rsidR="00C070A3">
          <w:rPr>
            <w:noProof/>
            <w:webHidden/>
          </w:rPr>
          <w:fldChar w:fldCharType="begin"/>
        </w:r>
        <w:r w:rsidR="00B448EE">
          <w:rPr>
            <w:noProof/>
            <w:webHidden/>
          </w:rPr>
          <w:instrText xml:space="preserve"> PAGEREF _Toc529102106 \h </w:instrText>
        </w:r>
        <w:r w:rsidR="00C070A3">
          <w:rPr>
            <w:noProof/>
            <w:webHidden/>
          </w:rPr>
        </w:r>
        <w:r w:rsidR="00C070A3">
          <w:rPr>
            <w:noProof/>
            <w:webHidden/>
          </w:rPr>
          <w:fldChar w:fldCharType="separate"/>
        </w:r>
        <w:r w:rsidR="00B448EE">
          <w:rPr>
            <w:noProof/>
            <w:webHidden/>
          </w:rPr>
          <w:t>18</w:t>
        </w:r>
        <w:r w:rsidR="00C070A3">
          <w:rPr>
            <w:noProof/>
            <w:webHidden/>
          </w:rPr>
          <w:fldChar w:fldCharType="end"/>
        </w:r>
      </w:hyperlink>
    </w:p>
    <w:p w:rsidR="00B448EE" w:rsidRDefault="00555730">
      <w:pPr>
        <w:pStyle w:val="TDC1"/>
        <w:rPr>
          <w:rFonts w:asciiTheme="minorHAnsi" w:eastAsiaTheme="minorEastAsia" w:hAnsiTheme="minorHAnsi"/>
          <w:noProof/>
          <w:lang w:val="es-NI" w:eastAsia="es-NI"/>
        </w:rPr>
      </w:pPr>
      <w:hyperlink w:anchor="_Toc529102107" w:history="1">
        <w:r w:rsidR="00B448EE" w:rsidRPr="00C93A7B">
          <w:rPr>
            <w:rStyle w:val="Hipervnculo"/>
            <w:noProof/>
            <w:lang w:val="es-HN"/>
          </w:rPr>
          <w:t>CONCLUSIONES</w:t>
        </w:r>
        <w:r w:rsidR="00B448EE">
          <w:rPr>
            <w:noProof/>
            <w:webHidden/>
          </w:rPr>
          <w:tab/>
        </w:r>
        <w:r w:rsidR="00C070A3">
          <w:rPr>
            <w:noProof/>
            <w:webHidden/>
          </w:rPr>
          <w:fldChar w:fldCharType="begin"/>
        </w:r>
        <w:r w:rsidR="00B448EE">
          <w:rPr>
            <w:noProof/>
            <w:webHidden/>
          </w:rPr>
          <w:instrText xml:space="preserve"> PAGEREF _Toc529102107 \h </w:instrText>
        </w:r>
        <w:r w:rsidR="00C070A3">
          <w:rPr>
            <w:noProof/>
            <w:webHidden/>
          </w:rPr>
        </w:r>
        <w:r w:rsidR="00C070A3">
          <w:rPr>
            <w:noProof/>
            <w:webHidden/>
          </w:rPr>
          <w:fldChar w:fldCharType="separate"/>
        </w:r>
        <w:r w:rsidR="00B448EE">
          <w:rPr>
            <w:noProof/>
            <w:webHidden/>
          </w:rPr>
          <w:t>25</w:t>
        </w:r>
        <w:r w:rsidR="00C070A3">
          <w:rPr>
            <w:noProof/>
            <w:webHidden/>
          </w:rPr>
          <w:fldChar w:fldCharType="end"/>
        </w:r>
      </w:hyperlink>
    </w:p>
    <w:p w:rsidR="00B448EE" w:rsidRDefault="00555730">
      <w:pPr>
        <w:pStyle w:val="TDC1"/>
        <w:rPr>
          <w:rFonts w:asciiTheme="minorHAnsi" w:eastAsiaTheme="minorEastAsia" w:hAnsiTheme="minorHAnsi"/>
          <w:noProof/>
          <w:lang w:val="es-NI" w:eastAsia="es-NI"/>
        </w:rPr>
      </w:pPr>
      <w:hyperlink w:anchor="_Toc529102108" w:history="1">
        <w:r w:rsidR="00B448EE" w:rsidRPr="00C93A7B">
          <w:rPr>
            <w:rStyle w:val="Hipervnculo"/>
            <w:noProof/>
            <w:lang w:val="es-HN"/>
          </w:rPr>
          <w:t>RECOMENDACIONES</w:t>
        </w:r>
        <w:r w:rsidR="00B448EE">
          <w:rPr>
            <w:noProof/>
            <w:webHidden/>
          </w:rPr>
          <w:tab/>
        </w:r>
        <w:r w:rsidR="00C070A3">
          <w:rPr>
            <w:noProof/>
            <w:webHidden/>
          </w:rPr>
          <w:fldChar w:fldCharType="begin"/>
        </w:r>
        <w:r w:rsidR="00B448EE">
          <w:rPr>
            <w:noProof/>
            <w:webHidden/>
          </w:rPr>
          <w:instrText xml:space="preserve"> PAGEREF _Toc529102108 \h </w:instrText>
        </w:r>
        <w:r w:rsidR="00C070A3">
          <w:rPr>
            <w:noProof/>
            <w:webHidden/>
          </w:rPr>
        </w:r>
        <w:r w:rsidR="00C070A3">
          <w:rPr>
            <w:noProof/>
            <w:webHidden/>
          </w:rPr>
          <w:fldChar w:fldCharType="separate"/>
        </w:r>
        <w:r w:rsidR="00B448EE">
          <w:rPr>
            <w:noProof/>
            <w:webHidden/>
          </w:rPr>
          <w:t>27</w:t>
        </w:r>
        <w:r w:rsidR="00C070A3">
          <w:rPr>
            <w:noProof/>
            <w:webHidden/>
          </w:rPr>
          <w:fldChar w:fldCharType="end"/>
        </w:r>
      </w:hyperlink>
    </w:p>
    <w:p w:rsidR="00B448EE" w:rsidRDefault="00555730">
      <w:pPr>
        <w:pStyle w:val="TDC1"/>
        <w:rPr>
          <w:rFonts w:asciiTheme="minorHAnsi" w:eastAsiaTheme="minorEastAsia" w:hAnsiTheme="minorHAnsi"/>
          <w:noProof/>
          <w:lang w:val="es-NI" w:eastAsia="es-NI"/>
        </w:rPr>
      </w:pPr>
      <w:hyperlink w:anchor="_Toc529102109" w:history="1">
        <w:r w:rsidR="00B448EE" w:rsidRPr="00C93A7B">
          <w:rPr>
            <w:rStyle w:val="Hipervnculo"/>
            <w:noProof/>
            <w:lang w:val="es-HN"/>
          </w:rPr>
          <w:t>ANEXOS</w:t>
        </w:r>
        <w:r w:rsidR="00B448EE">
          <w:rPr>
            <w:noProof/>
            <w:webHidden/>
          </w:rPr>
          <w:tab/>
        </w:r>
        <w:r w:rsidR="00C070A3">
          <w:rPr>
            <w:noProof/>
            <w:webHidden/>
          </w:rPr>
          <w:fldChar w:fldCharType="begin"/>
        </w:r>
        <w:r w:rsidR="00B448EE">
          <w:rPr>
            <w:noProof/>
            <w:webHidden/>
          </w:rPr>
          <w:instrText xml:space="preserve"> PAGEREF _Toc529102109 \h </w:instrText>
        </w:r>
        <w:r w:rsidR="00C070A3">
          <w:rPr>
            <w:noProof/>
            <w:webHidden/>
          </w:rPr>
        </w:r>
        <w:r w:rsidR="00C070A3">
          <w:rPr>
            <w:noProof/>
            <w:webHidden/>
          </w:rPr>
          <w:fldChar w:fldCharType="separate"/>
        </w:r>
        <w:r w:rsidR="00B448EE">
          <w:rPr>
            <w:noProof/>
            <w:webHidden/>
          </w:rPr>
          <w:t>28</w:t>
        </w:r>
        <w:r w:rsidR="00C070A3">
          <w:rPr>
            <w:noProof/>
            <w:webHidden/>
          </w:rPr>
          <w:fldChar w:fldCharType="end"/>
        </w:r>
      </w:hyperlink>
    </w:p>
    <w:p w:rsidR="00B448EE" w:rsidRDefault="00555730">
      <w:pPr>
        <w:pStyle w:val="TDC2"/>
        <w:rPr>
          <w:rFonts w:asciiTheme="minorHAnsi" w:eastAsiaTheme="minorEastAsia" w:hAnsiTheme="minorHAnsi"/>
          <w:noProof/>
          <w:lang w:val="es-NI" w:eastAsia="es-NI"/>
        </w:rPr>
      </w:pPr>
      <w:hyperlink w:anchor="_Toc529102110" w:history="1">
        <w:r w:rsidR="00B448EE" w:rsidRPr="00C93A7B">
          <w:rPr>
            <w:rStyle w:val="Hipervnculo"/>
            <w:noProof/>
          </w:rPr>
          <w:t>TABLAS</w:t>
        </w:r>
        <w:r w:rsidR="00B448EE">
          <w:rPr>
            <w:noProof/>
            <w:webHidden/>
          </w:rPr>
          <w:tab/>
        </w:r>
        <w:r w:rsidR="00C070A3">
          <w:rPr>
            <w:noProof/>
            <w:webHidden/>
          </w:rPr>
          <w:fldChar w:fldCharType="begin"/>
        </w:r>
        <w:r w:rsidR="00B448EE">
          <w:rPr>
            <w:noProof/>
            <w:webHidden/>
          </w:rPr>
          <w:instrText xml:space="preserve"> PAGEREF _Toc529102110 \h </w:instrText>
        </w:r>
        <w:r w:rsidR="00C070A3">
          <w:rPr>
            <w:noProof/>
            <w:webHidden/>
          </w:rPr>
        </w:r>
        <w:r w:rsidR="00C070A3">
          <w:rPr>
            <w:noProof/>
            <w:webHidden/>
          </w:rPr>
          <w:fldChar w:fldCharType="separate"/>
        </w:r>
        <w:r w:rsidR="00B448EE">
          <w:rPr>
            <w:noProof/>
            <w:webHidden/>
          </w:rPr>
          <w:t>28</w:t>
        </w:r>
        <w:r w:rsidR="00C070A3">
          <w:rPr>
            <w:noProof/>
            <w:webHidden/>
          </w:rPr>
          <w:fldChar w:fldCharType="end"/>
        </w:r>
      </w:hyperlink>
    </w:p>
    <w:p w:rsidR="00B448EE" w:rsidRDefault="00555730">
      <w:pPr>
        <w:pStyle w:val="TDC2"/>
        <w:rPr>
          <w:rFonts w:asciiTheme="minorHAnsi" w:eastAsiaTheme="minorEastAsia" w:hAnsiTheme="minorHAnsi"/>
          <w:noProof/>
          <w:lang w:val="es-NI" w:eastAsia="es-NI"/>
        </w:rPr>
      </w:pPr>
      <w:hyperlink w:anchor="_Toc529102111" w:history="1">
        <w:r w:rsidR="00B448EE" w:rsidRPr="00C93A7B">
          <w:rPr>
            <w:rStyle w:val="Hipervnculo"/>
            <w:noProof/>
          </w:rPr>
          <w:t>LISTA DE PERSONAS CONSULTADAS</w:t>
        </w:r>
        <w:r w:rsidR="00B448EE">
          <w:rPr>
            <w:noProof/>
            <w:webHidden/>
          </w:rPr>
          <w:tab/>
        </w:r>
        <w:r w:rsidR="00C070A3">
          <w:rPr>
            <w:noProof/>
            <w:webHidden/>
          </w:rPr>
          <w:fldChar w:fldCharType="begin"/>
        </w:r>
        <w:r w:rsidR="00B448EE">
          <w:rPr>
            <w:noProof/>
            <w:webHidden/>
          </w:rPr>
          <w:instrText xml:space="preserve"> PAGEREF _Toc529102111 \h </w:instrText>
        </w:r>
        <w:r w:rsidR="00C070A3">
          <w:rPr>
            <w:noProof/>
            <w:webHidden/>
          </w:rPr>
        </w:r>
        <w:r w:rsidR="00C070A3">
          <w:rPr>
            <w:noProof/>
            <w:webHidden/>
          </w:rPr>
          <w:fldChar w:fldCharType="separate"/>
        </w:r>
        <w:r w:rsidR="00B448EE">
          <w:rPr>
            <w:noProof/>
            <w:webHidden/>
          </w:rPr>
          <w:t>30</w:t>
        </w:r>
        <w:r w:rsidR="00C070A3">
          <w:rPr>
            <w:noProof/>
            <w:webHidden/>
          </w:rPr>
          <w:fldChar w:fldCharType="end"/>
        </w:r>
      </w:hyperlink>
    </w:p>
    <w:p w:rsidR="00733923" w:rsidRDefault="00C070A3">
      <w:pPr>
        <w:spacing w:before="0" w:beforeAutospacing="0" w:after="160" w:afterAutospacing="0" w:line="259" w:lineRule="auto"/>
        <w:jc w:val="left"/>
        <w:rPr>
          <w:rFonts w:eastAsiaTheme="majorEastAsia" w:cstheme="majorBidi"/>
          <w:b/>
          <w:bCs/>
          <w:sz w:val="28"/>
          <w:szCs w:val="28"/>
        </w:rPr>
      </w:pPr>
      <w:r>
        <w:fldChar w:fldCharType="end"/>
      </w:r>
      <w:r w:rsidR="00733923">
        <w:br w:type="page"/>
      </w:r>
    </w:p>
    <w:p w:rsidR="00D83E86" w:rsidRDefault="00D83E86" w:rsidP="00D83E86">
      <w:pPr>
        <w:pStyle w:val="Ttulo1"/>
      </w:pPr>
      <w:bookmarkStart w:id="0" w:name="_Toc529102100"/>
      <w:r>
        <w:lastRenderedPageBreak/>
        <w:t>SIGLAS</w:t>
      </w:r>
      <w:bookmarkEnd w:id="0"/>
    </w:p>
    <w:tbl>
      <w:tblPr>
        <w:tblStyle w:val="Tablaconcuadrcula"/>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654"/>
      </w:tblGrid>
      <w:tr w:rsidR="00A96FC7" w:rsidTr="00A96FC7">
        <w:trPr>
          <w:trHeight w:val="249"/>
        </w:trPr>
        <w:tc>
          <w:tcPr>
            <w:tcW w:w="1555" w:type="dxa"/>
            <w:vAlign w:val="center"/>
          </w:tcPr>
          <w:p w:rsidR="00A96FC7" w:rsidRDefault="00A96FC7" w:rsidP="00A96FC7">
            <w:pPr>
              <w:spacing w:before="0" w:beforeAutospacing="0" w:after="0" w:afterAutospacing="0" w:line="240" w:lineRule="auto"/>
              <w:rPr>
                <w:rFonts w:cs="Calibri"/>
                <w:color w:val="000000"/>
              </w:rPr>
            </w:pPr>
            <w:r>
              <w:rPr>
                <w:rFonts w:cs="Calibri"/>
                <w:color w:val="000000"/>
              </w:rPr>
              <w:t xml:space="preserve"> BK+ </w:t>
            </w:r>
          </w:p>
        </w:tc>
        <w:tc>
          <w:tcPr>
            <w:tcW w:w="7654" w:type="dxa"/>
            <w:vAlign w:val="center"/>
          </w:tcPr>
          <w:p w:rsidR="00A96FC7" w:rsidRDefault="00A96FC7" w:rsidP="00A96FC7">
            <w:pPr>
              <w:rPr>
                <w:rFonts w:cs="Calibri"/>
                <w:color w:val="000000"/>
              </w:rPr>
            </w:pPr>
            <w:r>
              <w:rPr>
                <w:rFonts w:cs="Calibri"/>
                <w:color w:val="000000"/>
              </w:rPr>
              <w:t xml:space="preserve"> Tuberculosis Pulmonar  con Baciloscopia Positiva </w:t>
            </w:r>
          </w:p>
        </w:tc>
      </w:tr>
      <w:tr w:rsidR="00A96FC7" w:rsidTr="00A96FC7">
        <w:trPr>
          <w:trHeight w:val="249"/>
        </w:trPr>
        <w:tc>
          <w:tcPr>
            <w:tcW w:w="1555" w:type="dxa"/>
            <w:vAlign w:val="center"/>
          </w:tcPr>
          <w:p w:rsidR="00A96FC7" w:rsidRDefault="00A96FC7" w:rsidP="00A96FC7">
            <w:pPr>
              <w:rPr>
                <w:rFonts w:cs="Calibri"/>
                <w:color w:val="000000"/>
              </w:rPr>
            </w:pPr>
            <w:r>
              <w:rPr>
                <w:rFonts w:cs="Calibri"/>
                <w:color w:val="000000"/>
              </w:rPr>
              <w:t xml:space="preserve"> FM </w:t>
            </w:r>
          </w:p>
        </w:tc>
        <w:tc>
          <w:tcPr>
            <w:tcW w:w="7654" w:type="dxa"/>
            <w:vAlign w:val="center"/>
          </w:tcPr>
          <w:p w:rsidR="00A96FC7" w:rsidRDefault="00A96FC7" w:rsidP="00A96FC7">
            <w:pPr>
              <w:rPr>
                <w:rFonts w:cs="Calibri"/>
                <w:color w:val="000000"/>
              </w:rPr>
            </w:pPr>
            <w:r>
              <w:rPr>
                <w:rFonts w:cs="Calibri"/>
                <w:color w:val="000000"/>
              </w:rPr>
              <w:t xml:space="preserve"> Fondo Mundial de Lucha contra El SIDA, la Tuberculosis y la Malaria </w:t>
            </w:r>
          </w:p>
        </w:tc>
      </w:tr>
      <w:tr w:rsidR="00A96FC7" w:rsidTr="00A96FC7">
        <w:trPr>
          <w:trHeight w:val="249"/>
        </w:trPr>
        <w:tc>
          <w:tcPr>
            <w:tcW w:w="1555" w:type="dxa"/>
            <w:vAlign w:val="center"/>
          </w:tcPr>
          <w:p w:rsidR="00A96FC7" w:rsidRDefault="00A96FC7" w:rsidP="00A96FC7">
            <w:pPr>
              <w:rPr>
                <w:rFonts w:cs="Calibri"/>
                <w:color w:val="000000"/>
              </w:rPr>
            </w:pPr>
            <w:r>
              <w:rPr>
                <w:rFonts w:cs="Calibri"/>
                <w:color w:val="000000"/>
              </w:rPr>
              <w:t xml:space="preserve"> ICAD </w:t>
            </w:r>
          </w:p>
        </w:tc>
        <w:tc>
          <w:tcPr>
            <w:tcW w:w="7654" w:type="dxa"/>
            <w:vAlign w:val="center"/>
          </w:tcPr>
          <w:p w:rsidR="00A96FC7" w:rsidRDefault="00A96FC7" w:rsidP="00A96FC7">
            <w:pPr>
              <w:rPr>
                <w:rFonts w:cs="Calibri"/>
                <w:color w:val="000000"/>
              </w:rPr>
            </w:pPr>
            <w:r>
              <w:rPr>
                <w:rFonts w:cs="Calibri"/>
                <w:color w:val="000000"/>
              </w:rPr>
              <w:t xml:space="preserve"> Instituto contra el Alcoholismo y Drogadicción </w:t>
            </w:r>
          </w:p>
        </w:tc>
      </w:tr>
      <w:tr w:rsidR="00A96FC7" w:rsidTr="00A96FC7">
        <w:trPr>
          <w:trHeight w:val="249"/>
        </w:trPr>
        <w:tc>
          <w:tcPr>
            <w:tcW w:w="1555" w:type="dxa"/>
            <w:vAlign w:val="center"/>
          </w:tcPr>
          <w:p w:rsidR="00A96FC7" w:rsidRDefault="00A96FC7" w:rsidP="00A96FC7">
            <w:pPr>
              <w:rPr>
                <w:rFonts w:cs="Calibri"/>
                <w:color w:val="000000"/>
              </w:rPr>
            </w:pPr>
            <w:r>
              <w:rPr>
                <w:rFonts w:cs="Calibri"/>
                <w:color w:val="000000"/>
              </w:rPr>
              <w:t xml:space="preserve"> INSS </w:t>
            </w:r>
          </w:p>
        </w:tc>
        <w:tc>
          <w:tcPr>
            <w:tcW w:w="7654" w:type="dxa"/>
            <w:vAlign w:val="center"/>
          </w:tcPr>
          <w:p w:rsidR="00A96FC7" w:rsidRDefault="00A96FC7" w:rsidP="00A96FC7">
            <w:pPr>
              <w:rPr>
                <w:rFonts w:cs="Calibri"/>
                <w:color w:val="000000"/>
              </w:rPr>
            </w:pPr>
            <w:r>
              <w:rPr>
                <w:rFonts w:cs="Calibri"/>
                <w:color w:val="000000"/>
              </w:rPr>
              <w:t xml:space="preserve"> Instituto Nicaragüense de Seguridad Social </w:t>
            </w:r>
          </w:p>
        </w:tc>
      </w:tr>
      <w:tr w:rsidR="00A96FC7" w:rsidTr="00A96FC7">
        <w:trPr>
          <w:trHeight w:val="249"/>
        </w:trPr>
        <w:tc>
          <w:tcPr>
            <w:tcW w:w="1555" w:type="dxa"/>
            <w:vAlign w:val="center"/>
          </w:tcPr>
          <w:p w:rsidR="00A96FC7" w:rsidRDefault="00A96FC7" w:rsidP="00A96FC7">
            <w:pPr>
              <w:rPr>
                <w:rFonts w:cs="Calibri"/>
                <w:color w:val="000000"/>
              </w:rPr>
            </w:pPr>
            <w:r>
              <w:rPr>
                <w:rFonts w:cs="Calibri"/>
                <w:color w:val="000000"/>
              </w:rPr>
              <w:t xml:space="preserve"> MEGAS TB </w:t>
            </w:r>
          </w:p>
        </w:tc>
        <w:tc>
          <w:tcPr>
            <w:tcW w:w="7654" w:type="dxa"/>
            <w:vAlign w:val="center"/>
          </w:tcPr>
          <w:p w:rsidR="00A96FC7" w:rsidRDefault="00A96FC7" w:rsidP="00A96FC7">
            <w:pPr>
              <w:rPr>
                <w:rFonts w:cs="Calibri"/>
                <w:color w:val="000000"/>
              </w:rPr>
            </w:pPr>
            <w:r>
              <w:rPr>
                <w:rFonts w:cs="Calibri"/>
                <w:color w:val="000000"/>
              </w:rPr>
              <w:t xml:space="preserve"> Medición del Gasto en Tuberculosis </w:t>
            </w:r>
          </w:p>
        </w:tc>
      </w:tr>
      <w:tr w:rsidR="00A96FC7" w:rsidTr="00A96FC7">
        <w:trPr>
          <w:trHeight w:val="249"/>
        </w:trPr>
        <w:tc>
          <w:tcPr>
            <w:tcW w:w="1555" w:type="dxa"/>
            <w:vAlign w:val="center"/>
          </w:tcPr>
          <w:p w:rsidR="00A96FC7" w:rsidRDefault="00A96FC7" w:rsidP="00A96FC7">
            <w:pPr>
              <w:rPr>
                <w:rFonts w:cs="Calibri"/>
                <w:color w:val="000000"/>
              </w:rPr>
            </w:pPr>
            <w:r>
              <w:rPr>
                <w:rFonts w:cs="Calibri"/>
                <w:color w:val="000000"/>
              </w:rPr>
              <w:t xml:space="preserve"> MIGOB </w:t>
            </w:r>
          </w:p>
        </w:tc>
        <w:tc>
          <w:tcPr>
            <w:tcW w:w="7654" w:type="dxa"/>
            <w:vAlign w:val="center"/>
          </w:tcPr>
          <w:p w:rsidR="00A96FC7" w:rsidRDefault="00A96FC7" w:rsidP="00A96FC7">
            <w:pPr>
              <w:rPr>
                <w:rFonts w:cs="Calibri"/>
                <w:color w:val="000000"/>
              </w:rPr>
            </w:pPr>
            <w:r>
              <w:rPr>
                <w:rFonts w:cs="Calibri"/>
                <w:color w:val="000000"/>
              </w:rPr>
              <w:t xml:space="preserve"> Ministerio de Gobernación </w:t>
            </w:r>
          </w:p>
        </w:tc>
      </w:tr>
      <w:tr w:rsidR="00A96FC7" w:rsidTr="00A96FC7">
        <w:trPr>
          <w:trHeight w:val="249"/>
        </w:trPr>
        <w:tc>
          <w:tcPr>
            <w:tcW w:w="1555" w:type="dxa"/>
            <w:vAlign w:val="center"/>
          </w:tcPr>
          <w:p w:rsidR="00A96FC7" w:rsidRDefault="00A96FC7" w:rsidP="00A96FC7">
            <w:pPr>
              <w:rPr>
                <w:rFonts w:cs="Calibri"/>
                <w:color w:val="000000"/>
              </w:rPr>
            </w:pPr>
            <w:r>
              <w:rPr>
                <w:rFonts w:cs="Calibri"/>
                <w:color w:val="000000"/>
              </w:rPr>
              <w:t xml:space="preserve"> MINSA </w:t>
            </w:r>
          </w:p>
        </w:tc>
        <w:tc>
          <w:tcPr>
            <w:tcW w:w="7654" w:type="dxa"/>
            <w:vAlign w:val="center"/>
          </w:tcPr>
          <w:p w:rsidR="00A96FC7" w:rsidRDefault="00A96FC7" w:rsidP="00A96FC7">
            <w:pPr>
              <w:rPr>
                <w:rFonts w:cs="Calibri"/>
                <w:color w:val="000000"/>
              </w:rPr>
            </w:pPr>
            <w:r>
              <w:rPr>
                <w:rFonts w:cs="Calibri"/>
                <w:color w:val="000000"/>
              </w:rPr>
              <w:t xml:space="preserve"> Ministerio de Salud </w:t>
            </w:r>
          </w:p>
        </w:tc>
      </w:tr>
      <w:tr w:rsidR="00A96FC7" w:rsidTr="00A96FC7">
        <w:trPr>
          <w:trHeight w:val="249"/>
        </w:trPr>
        <w:tc>
          <w:tcPr>
            <w:tcW w:w="1555" w:type="dxa"/>
            <w:vAlign w:val="center"/>
          </w:tcPr>
          <w:p w:rsidR="00A96FC7" w:rsidRDefault="00A96FC7" w:rsidP="00A96FC7">
            <w:pPr>
              <w:rPr>
                <w:rFonts w:cs="Calibri"/>
                <w:color w:val="000000"/>
              </w:rPr>
            </w:pPr>
            <w:r>
              <w:rPr>
                <w:rFonts w:cs="Calibri"/>
                <w:color w:val="000000"/>
              </w:rPr>
              <w:t xml:space="preserve"> OMS </w:t>
            </w:r>
          </w:p>
        </w:tc>
        <w:tc>
          <w:tcPr>
            <w:tcW w:w="7654" w:type="dxa"/>
            <w:vAlign w:val="center"/>
          </w:tcPr>
          <w:p w:rsidR="00A96FC7" w:rsidRDefault="00A96FC7" w:rsidP="00A96FC7">
            <w:pPr>
              <w:rPr>
                <w:rFonts w:cs="Calibri"/>
                <w:color w:val="000000"/>
              </w:rPr>
            </w:pPr>
            <w:r>
              <w:rPr>
                <w:rFonts w:cs="Calibri"/>
                <w:color w:val="000000"/>
              </w:rPr>
              <w:t xml:space="preserve"> Organización Mundial de la Salud </w:t>
            </w:r>
          </w:p>
        </w:tc>
      </w:tr>
      <w:tr w:rsidR="00A96FC7" w:rsidTr="00A96FC7">
        <w:tc>
          <w:tcPr>
            <w:tcW w:w="1555" w:type="dxa"/>
            <w:vAlign w:val="center"/>
          </w:tcPr>
          <w:p w:rsidR="00A96FC7" w:rsidRDefault="00A96FC7" w:rsidP="00A96FC7">
            <w:pPr>
              <w:rPr>
                <w:rFonts w:cs="Calibri"/>
                <w:color w:val="000000"/>
              </w:rPr>
            </w:pPr>
            <w:r>
              <w:rPr>
                <w:rFonts w:cs="Calibri"/>
                <w:color w:val="000000"/>
              </w:rPr>
              <w:t xml:space="preserve"> PEN </w:t>
            </w:r>
          </w:p>
        </w:tc>
        <w:tc>
          <w:tcPr>
            <w:tcW w:w="7654" w:type="dxa"/>
            <w:vAlign w:val="center"/>
          </w:tcPr>
          <w:p w:rsidR="00A96FC7" w:rsidRDefault="00A96FC7" w:rsidP="00A96FC7">
            <w:pPr>
              <w:rPr>
                <w:rFonts w:cs="Calibri"/>
                <w:color w:val="000000"/>
              </w:rPr>
            </w:pPr>
            <w:r>
              <w:rPr>
                <w:rFonts w:cs="Calibri"/>
                <w:color w:val="000000"/>
              </w:rPr>
              <w:t xml:space="preserve"> Plan Estratégico Nacional </w:t>
            </w:r>
          </w:p>
        </w:tc>
      </w:tr>
      <w:tr w:rsidR="00A96FC7" w:rsidTr="00A96FC7">
        <w:tc>
          <w:tcPr>
            <w:tcW w:w="1555" w:type="dxa"/>
            <w:vAlign w:val="center"/>
          </w:tcPr>
          <w:p w:rsidR="00A96FC7" w:rsidRDefault="00A96FC7" w:rsidP="00A96FC7">
            <w:pPr>
              <w:rPr>
                <w:rFonts w:cs="Calibri"/>
                <w:color w:val="000000"/>
              </w:rPr>
            </w:pPr>
            <w:r>
              <w:rPr>
                <w:rFonts w:cs="Calibri"/>
                <w:color w:val="000000"/>
              </w:rPr>
              <w:t xml:space="preserve"> PNTB </w:t>
            </w:r>
          </w:p>
        </w:tc>
        <w:tc>
          <w:tcPr>
            <w:tcW w:w="7654" w:type="dxa"/>
            <w:vAlign w:val="center"/>
          </w:tcPr>
          <w:p w:rsidR="00A96FC7" w:rsidRDefault="00A96FC7" w:rsidP="00A96FC7">
            <w:pPr>
              <w:rPr>
                <w:rFonts w:cs="Calibri"/>
                <w:color w:val="000000"/>
              </w:rPr>
            </w:pPr>
            <w:r>
              <w:rPr>
                <w:rFonts w:cs="Calibri"/>
                <w:color w:val="000000"/>
              </w:rPr>
              <w:t xml:space="preserve"> Programa Nacional de Tuberculosis </w:t>
            </w:r>
          </w:p>
        </w:tc>
      </w:tr>
      <w:tr w:rsidR="00A96FC7" w:rsidTr="00A96FC7">
        <w:tc>
          <w:tcPr>
            <w:tcW w:w="1555" w:type="dxa"/>
            <w:vAlign w:val="center"/>
          </w:tcPr>
          <w:p w:rsidR="00A96FC7" w:rsidRDefault="00A96FC7" w:rsidP="00A96FC7">
            <w:pPr>
              <w:rPr>
                <w:rFonts w:cs="Calibri"/>
                <w:color w:val="000000"/>
              </w:rPr>
            </w:pPr>
            <w:r>
              <w:rPr>
                <w:rFonts w:cs="Calibri"/>
                <w:color w:val="000000"/>
              </w:rPr>
              <w:t xml:space="preserve"> RACCN </w:t>
            </w:r>
          </w:p>
        </w:tc>
        <w:tc>
          <w:tcPr>
            <w:tcW w:w="7654" w:type="dxa"/>
            <w:vAlign w:val="center"/>
          </w:tcPr>
          <w:p w:rsidR="00A96FC7" w:rsidRDefault="00A96FC7" w:rsidP="00A96FC7">
            <w:pPr>
              <w:rPr>
                <w:rFonts w:cs="Calibri"/>
                <w:color w:val="000000"/>
              </w:rPr>
            </w:pPr>
            <w:r>
              <w:rPr>
                <w:rFonts w:cs="Calibri"/>
                <w:color w:val="000000"/>
              </w:rPr>
              <w:t xml:space="preserve"> Región Autónoma de la Costa Caribe Norte </w:t>
            </w:r>
          </w:p>
        </w:tc>
      </w:tr>
      <w:tr w:rsidR="00A96FC7" w:rsidTr="00A96FC7">
        <w:tc>
          <w:tcPr>
            <w:tcW w:w="1555" w:type="dxa"/>
            <w:vAlign w:val="center"/>
          </w:tcPr>
          <w:p w:rsidR="00A96FC7" w:rsidRDefault="00A96FC7" w:rsidP="00A96FC7">
            <w:pPr>
              <w:rPr>
                <w:rFonts w:cs="Calibri"/>
                <w:color w:val="000000"/>
              </w:rPr>
            </w:pPr>
            <w:r>
              <w:rPr>
                <w:rFonts w:cs="Calibri"/>
                <w:color w:val="000000"/>
              </w:rPr>
              <w:t xml:space="preserve"> RACCS </w:t>
            </w:r>
          </w:p>
        </w:tc>
        <w:tc>
          <w:tcPr>
            <w:tcW w:w="7654" w:type="dxa"/>
            <w:vAlign w:val="center"/>
          </w:tcPr>
          <w:p w:rsidR="00A96FC7" w:rsidRDefault="00A96FC7" w:rsidP="00A96FC7">
            <w:pPr>
              <w:rPr>
                <w:rFonts w:cs="Calibri"/>
                <w:color w:val="000000"/>
              </w:rPr>
            </w:pPr>
            <w:r>
              <w:rPr>
                <w:rFonts w:cs="Calibri"/>
                <w:color w:val="000000"/>
              </w:rPr>
              <w:t xml:space="preserve"> Región Autónoma de la Costa Caribe Sur </w:t>
            </w:r>
          </w:p>
        </w:tc>
      </w:tr>
      <w:tr w:rsidR="00A96FC7" w:rsidTr="00A96FC7">
        <w:tc>
          <w:tcPr>
            <w:tcW w:w="1555" w:type="dxa"/>
            <w:vAlign w:val="center"/>
          </w:tcPr>
          <w:p w:rsidR="00A96FC7" w:rsidRDefault="00A96FC7" w:rsidP="00A96FC7">
            <w:pPr>
              <w:rPr>
                <w:rFonts w:cs="Calibri"/>
                <w:color w:val="000000"/>
              </w:rPr>
            </w:pPr>
            <w:r>
              <w:rPr>
                <w:rFonts w:cs="Calibri"/>
                <w:color w:val="000000"/>
              </w:rPr>
              <w:t xml:space="preserve"> SILAIS </w:t>
            </w:r>
          </w:p>
        </w:tc>
        <w:tc>
          <w:tcPr>
            <w:tcW w:w="7654" w:type="dxa"/>
            <w:vAlign w:val="center"/>
          </w:tcPr>
          <w:p w:rsidR="00A96FC7" w:rsidRDefault="00A96FC7" w:rsidP="00A96FC7">
            <w:pPr>
              <w:rPr>
                <w:rFonts w:cs="Calibri"/>
                <w:color w:val="000000"/>
              </w:rPr>
            </w:pPr>
            <w:r>
              <w:rPr>
                <w:rFonts w:cs="Calibri"/>
                <w:color w:val="000000"/>
              </w:rPr>
              <w:t xml:space="preserve"> Sistema Local de Atención Integral en Salud </w:t>
            </w:r>
          </w:p>
        </w:tc>
      </w:tr>
      <w:tr w:rsidR="00A96FC7" w:rsidTr="00A96FC7">
        <w:tc>
          <w:tcPr>
            <w:tcW w:w="1555" w:type="dxa"/>
            <w:vAlign w:val="center"/>
          </w:tcPr>
          <w:p w:rsidR="00A96FC7" w:rsidRDefault="00A96FC7" w:rsidP="00A96FC7">
            <w:pPr>
              <w:rPr>
                <w:rFonts w:cs="Calibri"/>
                <w:color w:val="000000"/>
              </w:rPr>
            </w:pPr>
            <w:r>
              <w:rPr>
                <w:rFonts w:cs="Calibri"/>
                <w:color w:val="000000"/>
              </w:rPr>
              <w:t xml:space="preserve"> SNC </w:t>
            </w:r>
          </w:p>
        </w:tc>
        <w:tc>
          <w:tcPr>
            <w:tcW w:w="7654" w:type="dxa"/>
            <w:vAlign w:val="center"/>
          </w:tcPr>
          <w:p w:rsidR="00A96FC7" w:rsidRDefault="00A96FC7" w:rsidP="00A96FC7">
            <w:pPr>
              <w:rPr>
                <w:rFonts w:cs="Calibri"/>
                <w:color w:val="000000"/>
              </w:rPr>
            </w:pPr>
            <w:r>
              <w:rPr>
                <w:rFonts w:cs="Calibri"/>
                <w:color w:val="000000"/>
              </w:rPr>
              <w:t xml:space="preserve"> Sistemas de Cuentas Nacionales </w:t>
            </w:r>
          </w:p>
        </w:tc>
      </w:tr>
      <w:tr w:rsidR="00A96FC7" w:rsidTr="00A96FC7">
        <w:tc>
          <w:tcPr>
            <w:tcW w:w="1555" w:type="dxa"/>
            <w:vAlign w:val="center"/>
          </w:tcPr>
          <w:p w:rsidR="00A96FC7" w:rsidRDefault="00A96FC7" w:rsidP="00A96FC7">
            <w:pPr>
              <w:rPr>
                <w:rFonts w:cs="Calibri"/>
                <w:color w:val="000000"/>
              </w:rPr>
            </w:pPr>
            <w:r>
              <w:rPr>
                <w:rFonts w:cs="Calibri"/>
                <w:color w:val="000000"/>
              </w:rPr>
              <w:t xml:space="preserve"> SR+14 </w:t>
            </w:r>
          </w:p>
        </w:tc>
        <w:tc>
          <w:tcPr>
            <w:tcW w:w="7654" w:type="dxa"/>
            <w:vAlign w:val="center"/>
          </w:tcPr>
          <w:p w:rsidR="00A96FC7" w:rsidRDefault="00A96FC7" w:rsidP="00A96FC7">
            <w:pPr>
              <w:rPr>
                <w:rFonts w:cs="Calibri"/>
                <w:color w:val="000000"/>
              </w:rPr>
            </w:pPr>
            <w:r>
              <w:rPr>
                <w:rFonts w:cs="Calibri"/>
                <w:color w:val="000000"/>
              </w:rPr>
              <w:t xml:space="preserve"> Sintomático Respiratorio de más de 14 días </w:t>
            </w:r>
          </w:p>
        </w:tc>
      </w:tr>
      <w:tr w:rsidR="00A96FC7" w:rsidTr="00A96FC7">
        <w:tc>
          <w:tcPr>
            <w:tcW w:w="1555" w:type="dxa"/>
            <w:vAlign w:val="center"/>
          </w:tcPr>
          <w:p w:rsidR="00A96FC7" w:rsidRDefault="00A96FC7" w:rsidP="00A96FC7">
            <w:pPr>
              <w:rPr>
                <w:rFonts w:cs="Calibri"/>
                <w:color w:val="000000"/>
              </w:rPr>
            </w:pPr>
            <w:r>
              <w:rPr>
                <w:rFonts w:cs="Calibri"/>
                <w:color w:val="000000"/>
              </w:rPr>
              <w:t xml:space="preserve"> TB </w:t>
            </w:r>
          </w:p>
        </w:tc>
        <w:tc>
          <w:tcPr>
            <w:tcW w:w="7654" w:type="dxa"/>
            <w:vAlign w:val="center"/>
          </w:tcPr>
          <w:p w:rsidR="00A96FC7" w:rsidRDefault="00A96FC7" w:rsidP="00A96FC7">
            <w:pPr>
              <w:rPr>
                <w:rFonts w:cs="Calibri"/>
                <w:color w:val="000000"/>
              </w:rPr>
            </w:pPr>
            <w:r>
              <w:rPr>
                <w:rFonts w:cs="Calibri"/>
                <w:color w:val="000000"/>
              </w:rPr>
              <w:t xml:space="preserve"> Tuberculosis </w:t>
            </w:r>
          </w:p>
        </w:tc>
      </w:tr>
      <w:tr w:rsidR="00A96FC7" w:rsidRPr="00A96FC7" w:rsidTr="00A96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6"/>
        </w:trPr>
        <w:tc>
          <w:tcPr>
            <w:tcW w:w="1555" w:type="dxa"/>
            <w:tcBorders>
              <w:top w:val="nil"/>
              <w:left w:val="nil"/>
              <w:bottom w:val="nil"/>
              <w:right w:val="nil"/>
            </w:tcBorders>
            <w:hideMark/>
          </w:tcPr>
          <w:p w:rsidR="00A96FC7" w:rsidRPr="00A96FC7" w:rsidRDefault="00A96FC7" w:rsidP="00A96FC7">
            <w:pPr>
              <w:rPr>
                <w:rFonts w:cs="Calibri"/>
                <w:color w:val="000000"/>
              </w:rPr>
            </w:pPr>
            <w:r w:rsidRPr="00A96FC7">
              <w:rPr>
                <w:rFonts w:cs="Calibri"/>
                <w:color w:val="000000"/>
              </w:rPr>
              <w:t xml:space="preserve">TB/MDR </w:t>
            </w:r>
          </w:p>
        </w:tc>
        <w:tc>
          <w:tcPr>
            <w:tcW w:w="7654" w:type="dxa"/>
            <w:tcBorders>
              <w:top w:val="nil"/>
              <w:left w:val="nil"/>
              <w:bottom w:val="nil"/>
              <w:right w:val="nil"/>
            </w:tcBorders>
            <w:noWrap/>
            <w:hideMark/>
          </w:tcPr>
          <w:p w:rsidR="00A96FC7" w:rsidRPr="00A96FC7" w:rsidRDefault="003270E3" w:rsidP="00A96FC7">
            <w:pPr>
              <w:rPr>
                <w:rFonts w:cs="Calibri"/>
                <w:color w:val="000000"/>
              </w:rPr>
            </w:pPr>
            <w:r>
              <w:rPr>
                <w:rFonts w:cs="Calibri"/>
                <w:color w:val="000000"/>
              </w:rPr>
              <w:t>Tuberculosis M</w:t>
            </w:r>
            <w:r w:rsidR="00A96FC7" w:rsidRPr="00A96FC7">
              <w:rPr>
                <w:rFonts w:cs="Calibri"/>
                <w:color w:val="000000"/>
              </w:rPr>
              <w:t xml:space="preserve">ulti Resistente a los Fármacos </w:t>
            </w:r>
          </w:p>
        </w:tc>
      </w:tr>
      <w:tr w:rsidR="00A96FC7" w:rsidRPr="00A96FC7" w:rsidTr="00A96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1555" w:type="dxa"/>
            <w:tcBorders>
              <w:top w:val="nil"/>
              <w:left w:val="nil"/>
              <w:bottom w:val="nil"/>
              <w:right w:val="nil"/>
            </w:tcBorders>
            <w:hideMark/>
          </w:tcPr>
          <w:p w:rsidR="00A96FC7" w:rsidRPr="00A96FC7" w:rsidRDefault="00A96FC7" w:rsidP="00A96FC7">
            <w:pPr>
              <w:rPr>
                <w:rFonts w:cs="Calibri"/>
                <w:color w:val="000000"/>
              </w:rPr>
            </w:pPr>
            <w:r w:rsidRPr="00A96FC7">
              <w:rPr>
                <w:rFonts w:cs="Calibri"/>
                <w:color w:val="000000"/>
              </w:rPr>
              <w:t xml:space="preserve"> TBBC+ </w:t>
            </w:r>
          </w:p>
        </w:tc>
        <w:tc>
          <w:tcPr>
            <w:tcW w:w="7654" w:type="dxa"/>
            <w:tcBorders>
              <w:top w:val="nil"/>
              <w:left w:val="nil"/>
              <w:bottom w:val="nil"/>
              <w:right w:val="nil"/>
            </w:tcBorders>
            <w:hideMark/>
          </w:tcPr>
          <w:p w:rsidR="00A96FC7" w:rsidRPr="00A96FC7" w:rsidRDefault="00A96FC7" w:rsidP="00A96FC7">
            <w:pPr>
              <w:rPr>
                <w:rFonts w:cs="Calibri"/>
                <w:color w:val="000000"/>
              </w:rPr>
            </w:pPr>
            <w:r w:rsidRPr="00A96FC7">
              <w:rPr>
                <w:rFonts w:cs="Calibri"/>
                <w:color w:val="000000"/>
              </w:rPr>
              <w:t xml:space="preserve"> Tuberculosis Bacteriológicamente Confirmados  </w:t>
            </w:r>
          </w:p>
        </w:tc>
      </w:tr>
      <w:tr w:rsidR="00A96FC7" w:rsidRPr="00A96FC7" w:rsidTr="00A96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555" w:type="dxa"/>
            <w:tcBorders>
              <w:top w:val="nil"/>
              <w:left w:val="nil"/>
              <w:bottom w:val="nil"/>
              <w:right w:val="nil"/>
            </w:tcBorders>
            <w:hideMark/>
          </w:tcPr>
          <w:p w:rsidR="00A96FC7" w:rsidRPr="00A96FC7" w:rsidRDefault="00A96FC7" w:rsidP="00A96FC7">
            <w:pPr>
              <w:rPr>
                <w:rFonts w:cs="Calibri"/>
                <w:color w:val="000000"/>
              </w:rPr>
            </w:pPr>
            <w:r w:rsidRPr="00A96FC7">
              <w:rPr>
                <w:rFonts w:cs="Calibri"/>
                <w:color w:val="000000"/>
              </w:rPr>
              <w:t xml:space="preserve"> TBTF </w:t>
            </w:r>
          </w:p>
        </w:tc>
        <w:tc>
          <w:tcPr>
            <w:tcW w:w="7654" w:type="dxa"/>
            <w:tcBorders>
              <w:top w:val="nil"/>
              <w:left w:val="nil"/>
              <w:bottom w:val="nil"/>
              <w:right w:val="nil"/>
            </w:tcBorders>
            <w:hideMark/>
          </w:tcPr>
          <w:p w:rsidR="00A96FC7" w:rsidRPr="00A96FC7" w:rsidRDefault="00A96FC7" w:rsidP="00A96FC7">
            <w:pPr>
              <w:rPr>
                <w:rFonts w:cs="Calibri"/>
                <w:color w:val="000000"/>
              </w:rPr>
            </w:pPr>
            <w:r w:rsidRPr="00A96FC7">
              <w:rPr>
                <w:rFonts w:cs="Calibri"/>
                <w:color w:val="000000"/>
              </w:rPr>
              <w:t xml:space="preserve"> Tuberculosis en Todas su Formas </w:t>
            </w:r>
          </w:p>
        </w:tc>
      </w:tr>
      <w:tr w:rsidR="00A96FC7" w:rsidRPr="00A96FC7" w:rsidTr="00A96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555" w:type="dxa"/>
            <w:tcBorders>
              <w:top w:val="nil"/>
              <w:left w:val="nil"/>
              <w:bottom w:val="nil"/>
              <w:right w:val="nil"/>
            </w:tcBorders>
            <w:hideMark/>
          </w:tcPr>
          <w:p w:rsidR="00A96FC7" w:rsidRPr="00A96FC7" w:rsidRDefault="00A96FC7" w:rsidP="00A96FC7">
            <w:pPr>
              <w:rPr>
                <w:rFonts w:cs="Calibri"/>
                <w:color w:val="000000"/>
              </w:rPr>
            </w:pPr>
            <w:r w:rsidRPr="00A96FC7">
              <w:rPr>
                <w:rFonts w:cs="Calibri"/>
                <w:color w:val="000000"/>
              </w:rPr>
              <w:t xml:space="preserve"> VIH </w:t>
            </w:r>
          </w:p>
        </w:tc>
        <w:tc>
          <w:tcPr>
            <w:tcW w:w="7654" w:type="dxa"/>
            <w:tcBorders>
              <w:top w:val="nil"/>
              <w:left w:val="nil"/>
              <w:bottom w:val="nil"/>
              <w:right w:val="nil"/>
            </w:tcBorders>
            <w:hideMark/>
          </w:tcPr>
          <w:p w:rsidR="00A96FC7" w:rsidRPr="00A96FC7" w:rsidRDefault="00A96FC7" w:rsidP="00A96FC7">
            <w:pPr>
              <w:rPr>
                <w:rFonts w:cs="Calibri"/>
                <w:color w:val="000000"/>
              </w:rPr>
            </w:pPr>
            <w:r w:rsidRPr="00A96FC7">
              <w:rPr>
                <w:rFonts w:cs="Calibri"/>
                <w:color w:val="000000"/>
              </w:rPr>
              <w:t xml:space="preserve"> Virus de Inmunodeficiencia </w:t>
            </w:r>
            <w:r w:rsidR="00C60A98" w:rsidRPr="00A96FC7">
              <w:rPr>
                <w:rFonts w:cs="Calibri"/>
                <w:color w:val="000000"/>
              </w:rPr>
              <w:t>Humana</w:t>
            </w:r>
            <w:r w:rsidRPr="00A96FC7">
              <w:rPr>
                <w:rFonts w:cs="Calibri"/>
                <w:color w:val="000000"/>
              </w:rPr>
              <w:t xml:space="preserve"> </w:t>
            </w:r>
          </w:p>
        </w:tc>
      </w:tr>
    </w:tbl>
    <w:p w:rsidR="00D83E86" w:rsidRDefault="00D83E86" w:rsidP="00D83E86">
      <w:pPr>
        <w:pStyle w:val="Ttulo1"/>
      </w:pPr>
      <w:r>
        <w:br w:type="page"/>
      </w:r>
    </w:p>
    <w:p w:rsidR="00344161" w:rsidRDefault="00344161" w:rsidP="00344161">
      <w:pPr>
        <w:pStyle w:val="Ttulo1"/>
      </w:pPr>
      <w:bookmarkStart w:id="1" w:name="_Toc529102101"/>
      <w:r>
        <w:lastRenderedPageBreak/>
        <w:t>Introducción</w:t>
      </w:r>
      <w:bookmarkEnd w:id="1"/>
    </w:p>
    <w:p w:rsidR="000F6FC1" w:rsidRDefault="000F6FC1" w:rsidP="000F6FC1">
      <w:r>
        <w:t xml:space="preserve">Una de las prioridades del gobierno de Nicaragua es conocer el gasto de </w:t>
      </w:r>
      <w:r w:rsidR="00C60A98">
        <w:t>l</w:t>
      </w:r>
      <w:r w:rsidR="00D83E86">
        <w:t xml:space="preserve">a </w:t>
      </w:r>
      <w:r w:rsidR="00384711">
        <w:t>res</w:t>
      </w:r>
      <w:r>
        <w:t xml:space="preserve">puesta nacional a la </w:t>
      </w:r>
      <w:r w:rsidR="00D83E86">
        <w:t>tuberculosis, en donde se refleje</w:t>
      </w:r>
      <w:r>
        <w:t>n los esfuerzos interinstitucion</w:t>
      </w:r>
      <w:r w:rsidR="00567235">
        <w:t>ales realizados para determinar</w:t>
      </w:r>
      <w:r>
        <w:t xml:space="preserve"> en forma más exhaustiva, la inversión que el país efectúa en la materia. </w:t>
      </w:r>
    </w:p>
    <w:p w:rsidR="00CA457F" w:rsidRDefault="00CA457F" w:rsidP="00CA457F">
      <w:r>
        <w:t xml:space="preserve">A partir del año 2015 el MINSA ha desarrollado la Medición del Gasto en </w:t>
      </w:r>
      <w:r w:rsidR="00384711">
        <w:t xml:space="preserve">Tuberculosis </w:t>
      </w:r>
      <w:r>
        <w:t>conocido como MEGAS</w:t>
      </w:r>
      <w:r w:rsidR="00384711">
        <w:t xml:space="preserve"> TB</w:t>
      </w:r>
      <w:r>
        <w:t>, sobre la base</w:t>
      </w:r>
      <w:r w:rsidR="008C2A0E">
        <w:t xml:space="preserve"> de la Cuentas Nacionales en Salud, dado que no hay mucha experiencia sobre este tipo de estudios en Centroamérica, el país ha desarrollado su propia metodología</w:t>
      </w:r>
      <w:r>
        <w:t xml:space="preserve">, para </w:t>
      </w:r>
      <w:r w:rsidR="008C2A0E">
        <w:t xml:space="preserve">utilizarla como </w:t>
      </w:r>
      <w:r>
        <w:t xml:space="preserve">una herramienta para el monitoreo estratégico de la respuesta integral a la </w:t>
      </w:r>
      <w:r w:rsidR="008C2A0E">
        <w:t>enfermedad.</w:t>
      </w:r>
    </w:p>
    <w:p w:rsidR="000F6FC1" w:rsidRDefault="000F6FC1" w:rsidP="000F6FC1">
      <w:r>
        <w:t xml:space="preserve"> En el marco de la nueva Subvención del Fondo Mundial </w:t>
      </w:r>
      <w:r w:rsidR="00B40925">
        <w:t xml:space="preserve">(FM) </w:t>
      </w:r>
      <w:r>
        <w:t xml:space="preserve">se ha propuesto realizar el presente </w:t>
      </w:r>
      <w:r w:rsidR="00D83E86">
        <w:t>estudio que permite</w:t>
      </w:r>
      <w:r>
        <w:t xml:space="preserve"> saber cuánto cuesta proveer la atención integral de un paciente con tuberculosis desde que se capta como SR+14 hasta que es dado de alta de cualquiera de los esquemas de tratamiento que contempla la</w:t>
      </w:r>
      <w:r w:rsidR="00A76608">
        <w:t>s</w:t>
      </w:r>
      <w:r>
        <w:t xml:space="preserve"> normas y procedimientos para el abordaje de la Tuberculosis, normativa 054 del Ministerio de Salud; estimando/conociendo los gastos y recursos invertidos en la enfermedad: recursos humanos, equipos médicos, medios diagnósticos, medicamentos, instalaciones físicas y costos operativos de los servicios, todo ello por tipo de poblaciones vulnerables.  </w:t>
      </w:r>
    </w:p>
    <w:p w:rsidR="0008434A" w:rsidRDefault="0008434A" w:rsidP="0008434A">
      <w:r>
        <w:t xml:space="preserve">La Medición del Gasto en Tuberculosis (TB) facilita el proceso de determinar los fondos utilizados para financiar la respuesta nacional; una medición exhaustiva del gasto público, privado e internacional, permite realizar un análisis financiero y político que sea útil para la toma de decisiones nacionales en materia de inversión e impacto de los recursos para la TB, no sólo en las áreas de prevención y tratamiento dentro </w:t>
      </w:r>
      <w:r w:rsidR="00384711">
        <w:t>del  sistema</w:t>
      </w:r>
      <w:r>
        <w:t xml:space="preserve"> de salud, sino en la clasificación del flujo de recursos en donde participan otros sectores, como educación, gobernación entre otros.</w:t>
      </w:r>
    </w:p>
    <w:p w:rsidR="0008434A" w:rsidRDefault="0008434A" w:rsidP="0008434A">
      <w:r>
        <w:t>Es una herramienta de rastreo de recursos destinados a la TB y debe ser consistente con los métodos estandarizados, las definiciones y las reglas de contabilidad que se usan en los Sistemas de Cuentas Nacionales (SCN).</w:t>
      </w:r>
    </w:p>
    <w:p w:rsidR="0008434A" w:rsidRDefault="0008434A" w:rsidP="0008434A">
      <w:pPr>
        <w:rPr>
          <w:lang w:val="es-NI"/>
        </w:rPr>
      </w:pPr>
      <w:r>
        <w:rPr>
          <w:lang w:val="es-NI"/>
        </w:rPr>
        <w:t xml:space="preserve">Analiza los gastos y flujos financieros relacionados a la respuesta nacional, los cuales se organizan en tres dimensiones: financiamiento, provisión y consumo. Estas tres dimensiones a su vez permiten </w:t>
      </w:r>
      <w:r>
        <w:rPr>
          <w:lang w:val="es-NI"/>
        </w:rPr>
        <w:lastRenderedPageBreak/>
        <w:t>identificar las fuentes de financiamiento, los agentes de financiamiento, los proveedores de servicios, los factores de producción (recursos), las intervenciones y la población beneficiaria.</w:t>
      </w:r>
    </w:p>
    <w:p w:rsidR="0008434A" w:rsidRDefault="0008434A" w:rsidP="0008434A">
      <w:pPr>
        <w:pStyle w:val="Textoindependiente"/>
      </w:pPr>
      <w:r>
        <w:t xml:space="preserve">Una de las principales limitaciones </w:t>
      </w:r>
      <w:r w:rsidR="00384711">
        <w:t>del país</w:t>
      </w:r>
      <w:r>
        <w:t>, es que cuando se realizan estudios sobre enfermedades y epidemias como la tuberculosis, son pocos los trabajos que utilizan indicadores comparables internacionalmente, además que se presentan problemas metodológicos en la determinación de los costos integrales que una enfermedad genera para los pacientes y sus familias.</w:t>
      </w:r>
    </w:p>
    <w:p w:rsidR="00D83E86" w:rsidRDefault="00567235" w:rsidP="00D83E86">
      <w:pPr>
        <w:pStyle w:val="Textoindependiente"/>
      </w:pPr>
      <w:r>
        <w:t xml:space="preserve">Este </w:t>
      </w:r>
      <w:r w:rsidR="00D83E86">
        <w:t>informe presenta el proceso para la realización del estudio y sus resultados</w:t>
      </w:r>
      <w:r w:rsidR="00CA457F">
        <w:t xml:space="preserve"> preliminares</w:t>
      </w:r>
      <w:r w:rsidR="00D83E86">
        <w:t xml:space="preserve">, inicia describiendo la metodología utilizada para la medición del gasto en tuberculosis. En la segunda </w:t>
      </w:r>
      <w:bookmarkStart w:id="2" w:name="_GoBack"/>
      <w:bookmarkEnd w:id="2"/>
      <w:r w:rsidR="001C2738">
        <w:t>parte del</w:t>
      </w:r>
      <w:r w:rsidR="00D83E86">
        <w:t xml:space="preserve"> documento, se presentan los resultados obtenidos de la medición del gasto en tuberculosis; y en la tercera parte, las conclusiones y recomendaciones generales de la medición. Se espera que los resultados abonen a la formulación y evaluación de las políticas públicas y plan estratégico dirigido al control de la tuberculosis en el país. </w:t>
      </w:r>
    </w:p>
    <w:p w:rsidR="0008434A" w:rsidRDefault="00D83E86" w:rsidP="00384711">
      <w:pPr>
        <w:pStyle w:val="Ttulo1"/>
      </w:pPr>
      <w:r>
        <w:br w:type="page"/>
      </w:r>
      <w:bookmarkStart w:id="3" w:name="_Toc524353104"/>
      <w:bookmarkStart w:id="4" w:name="_Toc529102102"/>
      <w:r w:rsidR="0008434A">
        <w:lastRenderedPageBreak/>
        <w:t>Objetivos del Estudio de Medición del Gasto en Tuberculosis</w:t>
      </w:r>
      <w:bookmarkEnd w:id="3"/>
      <w:bookmarkEnd w:id="4"/>
    </w:p>
    <w:p w:rsidR="0008434A" w:rsidRPr="00BE40CE" w:rsidRDefault="0008434A" w:rsidP="0008434A">
      <w:pPr>
        <w:spacing w:before="0" w:beforeAutospacing="0" w:after="160" w:afterAutospacing="0" w:line="259" w:lineRule="auto"/>
        <w:jc w:val="left"/>
        <w:rPr>
          <w:b/>
        </w:rPr>
      </w:pPr>
      <w:r w:rsidRPr="00BE40CE">
        <w:rPr>
          <w:b/>
        </w:rPr>
        <w:t xml:space="preserve">Objetivo General: </w:t>
      </w:r>
    </w:p>
    <w:p w:rsidR="0008434A" w:rsidRDefault="0008434A" w:rsidP="0008434A">
      <w:r>
        <w:t xml:space="preserve">Determinar los gastos y recursos invertidos para financiar la respuesta nacional a la Tuberculosis: recursos humanos, equipos médicos, medios diagnósticos, medicamentos, instalaciones físicas y costo operativo de los servicios, por tipo de poblaciones vulnerables y fuentes de financiamiento de los años 2016- 2017.   </w:t>
      </w:r>
    </w:p>
    <w:p w:rsidR="0008434A" w:rsidRDefault="0008434A" w:rsidP="0008434A">
      <w:r>
        <w:t>Objetivos Específicos:</w:t>
      </w:r>
    </w:p>
    <w:p w:rsidR="0008434A" w:rsidRPr="0008434A" w:rsidRDefault="0008434A" w:rsidP="0008434A">
      <w:pPr>
        <w:pStyle w:val="Prrafodelista"/>
        <w:numPr>
          <w:ilvl w:val="0"/>
          <w:numId w:val="48"/>
        </w:numPr>
        <w:rPr>
          <w:lang w:val="es-NI"/>
        </w:rPr>
      </w:pPr>
      <w:r w:rsidRPr="0008434A">
        <w:rPr>
          <w:lang w:val="es-NI"/>
        </w:rPr>
        <w:t>Elaborar una propuesta de metodología estándar para la medición del gasto de Tuberculosis.</w:t>
      </w:r>
    </w:p>
    <w:p w:rsidR="0008434A" w:rsidRPr="0008434A" w:rsidRDefault="0008434A" w:rsidP="0008434A">
      <w:pPr>
        <w:pStyle w:val="Prrafodelista"/>
        <w:numPr>
          <w:ilvl w:val="0"/>
          <w:numId w:val="48"/>
        </w:numPr>
        <w:rPr>
          <w:lang w:val="es-NI"/>
        </w:rPr>
      </w:pPr>
      <w:r w:rsidRPr="0008434A">
        <w:rPr>
          <w:lang w:val="es-NI"/>
        </w:rPr>
        <w:t>Definir el origen de la financiación de la respuesta nacional a la tuberculosis durante los años 2016-2017.</w:t>
      </w:r>
    </w:p>
    <w:p w:rsidR="0008434A" w:rsidRPr="0008434A" w:rsidRDefault="0008434A" w:rsidP="0008434A">
      <w:pPr>
        <w:pStyle w:val="Prrafodelista"/>
        <w:numPr>
          <w:ilvl w:val="0"/>
          <w:numId w:val="48"/>
        </w:numPr>
        <w:rPr>
          <w:lang w:val="es-NI"/>
        </w:rPr>
      </w:pPr>
      <w:r w:rsidRPr="0008434A">
        <w:rPr>
          <w:lang w:val="es-NI"/>
        </w:rPr>
        <w:t xml:space="preserve">Identificar el gasto realizado y fuente de financiamiento por componentes y líneas del gasto: recursos humanos, equipos médicos, medios diagnósticos, medicamentos, instalaciones físicas y costo operativo de los servicios.  </w:t>
      </w:r>
    </w:p>
    <w:p w:rsidR="0008434A" w:rsidRPr="0008434A" w:rsidRDefault="0008434A" w:rsidP="0008434A">
      <w:pPr>
        <w:pStyle w:val="Prrafodelista"/>
        <w:numPr>
          <w:ilvl w:val="0"/>
          <w:numId w:val="48"/>
        </w:numPr>
        <w:rPr>
          <w:lang w:val="es-NI"/>
        </w:rPr>
      </w:pPr>
      <w:r w:rsidRPr="00C8024D">
        <w:t>Describir el gasto en TB según grupos de poblaciones</w:t>
      </w:r>
      <w:r w:rsidRPr="0008434A">
        <w:rPr>
          <w:lang w:val="es-NI"/>
        </w:rPr>
        <w:t xml:space="preserve"> vulnerables. </w:t>
      </w:r>
    </w:p>
    <w:p w:rsidR="005E6E04" w:rsidRDefault="00344161" w:rsidP="005E6E04">
      <w:pPr>
        <w:pStyle w:val="Ttulo1"/>
      </w:pPr>
      <w:bookmarkStart w:id="5" w:name="_Toc529102103"/>
      <w:r>
        <w:t>Metodología</w:t>
      </w:r>
      <w:bookmarkEnd w:id="5"/>
    </w:p>
    <w:p w:rsidR="009C15E7" w:rsidRDefault="005E6E04" w:rsidP="005E6E04">
      <w:r>
        <w:t>El estudio para Medición del Gasto de la Respuesta Nacional a la</w:t>
      </w:r>
      <w:r w:rsidR="00060F32">
        <w:t xml:space="preserve"> Tuberculosis de los años 2016</w:t>
      </w:r>
      <w:r w:rsidR="006019A0">
        <w:t xml:space="preserve"> y </w:t>
      </w:r>
      <w:r w:rsidR="00060F32">
        <w:t>2017</w:t>
      </w:r>
      <w:r w:rsidR="00530812">
        <w:t xml:space="preserve"> </w:t>
      </w:r>
      <w:r>
        <w:t xml:space="preserve">fue realizado bajo la Coordinación del Ministerio de Salud (MINSA), con la colaboración del Instituto Nicaragüense </w:t>
      </w:r>
      <w:r w:rsidR="00530812">
        <w:t>de Seguridad</w:t>
      </w:r>
      <w:r>
        <w:t xml:space="preserve"> Social (INSS)</w:t>
      </w:r>
      <w:r w:rsidR="002B72C6">
        <w:t xml:space="preserve">, </w:t>
      </w:r>
      <w:r w:rsidR="00651331">
        <w:t xml:space="preserve">la Unidad de Proyectos </w:t>
      </w:r>
      <w:r w:rsidR="004D6926">
        <w:t xml:space="preserve">del INSS </w:t>
      </w:r>
      <w:r w:rsidR="006019A0">
        <w:t xml:space="preserve">como Receptor Principal de la Subvención de El Fondo </w:t>
      </w:r>
      <w:r w:rsidR="00530812">
        <w:t>Mundial, Ministerio</w:t>
      </w:r>
      <w:r>
        <w:t xml:space="preserve"> de Gobernación (MIGOB</w:t>
      </w:r>
      <w:r w:rsidR="000525A4">
        <w:t xml:space="preserve">), Instituto contra el </w:t>
      </w:r>
      <w:r w:rsidR="00530812">
        <w:t>Alcoholismo y</w:t>
      </w:r>
      <w:r w:rsidR="00D265F7">
        <w:t xml:space="preserve"> Drogadicción (ICAD</w:t>
      </w:r>
      <w:r w:rsidR="00530812">
        <w:t>), y</w:t>
      </w:r>
      <w:r w:rsidR="00D265F7">
        <w:t xml:space="preserve"> </w:t>
      </w:r>
      <w:r w:rsidR="000525A4">
        <w:t xml:space="preserve">la Fundación </w:t>
      </w:r>
      <w:r w:rsidR="009C15E7">
        <w:t>Damiá</w:t>
      </w:r>
      <w:r w:rsidR="002C026A">
        <w:t>n.</w:t>
      </w:r>
    </w:p>
    <w:p w:rsidR="00060F32" w:rsidRPr="00D61FCE" w:rsidRDefault="00060F32" w:rsidP="00060F32">
      <w:pPr>
        <w:rPr>
          <w:sz w:val="24"/>
          <w:szCs w:val="24"/>
        </w:rPr>
      </w:pPr>
      <w:r w:rsidRPr="00D61FCE">
        <w:t>La metodología empleada en este estudio corresponde a una evaluación ex post</w:t>
      </w:r>
      <w:r w:rsidR="00384711">
        <w:t>,</w:t>
      </w:r>
      <w:r w:rsidRPr="00D61FCE">
        <w:t xml:space="preserve"> transversal del tipo descriptiva de los hallaz</w:t>
      </w:r>
      <w:r>
        <w:t>gos de la información obtenida.</w:t>
      </w:r>
      <w:r w:rsidRPr="00D61FCE">
        <w:t xml:space="preserve"> </w:t>
      </w:r>
      <w:r w:rsidR="0036265F" w:rsidRPr="00D61FCE">
        <w:t xml:space="preserve">Las variables consideradas </w:t>
      </w:r>
      <w:r w:rsidR="0036265F">
        <w:t>permitieron</w:t>
      </w:r>
      <w:r w:rsidRPr="00D61FCE">
        <w:t xml:space="preserve"> identificar los siguientes componentes: fuentes de financiamiento, principales agentes, prestadoras, funciones y tipos de intervención, factores de producci</w:t>
      </w:r>
      <w:r w:rsidR="00A76608">
        <w:t xml:space="preserve">ón y </w:t>
      </w:r>
      <w:r w:rsidR="0036265F">
        <w:t>poblaciones beneficiarias</w:t>
      </w:r>
      <w:r w:rsidR="00A76608">
        <w:t>.</w:t>
      </w:r>
    </w:p>
    <w:p w:rsidR="00060F32" w:rsidRDefault="001A282F" w:rsidP="00060F32">
      <w:r>
        <w:lastRenderedPageBreak/>
        <w:t>El estudio abarcó</w:t>
      </w:r>
      <w:r w:rsidR="00060F32" w:rsidRPr="00D61FCE">
        <w:t xml:space="preserve"> la recolección y sistematización de información cuantit</w:t>
      </w:r>
      <w:r w:rsidR="00060F32">
        <w:t>a</w:t>
      </w:r>
      <w:r w:rsidR="00060F32" w:rsidRPr="00D61FCE">
        <w:t xml:space="preserve">tiva de </w:t>
      </w:r>
      <w:r w:rsidR="00060F32">
        <w:t>la ejecución del gasto</w:t>
      </w:r>
      <w:r w:rsidR="00060F32" w:rsidRPr="00D61FCE">
        <w:t>,</w:t>
      </w:r>
      <w:r w:rsidR="00060F32">
        <w:t xml:space="preserve"> de los años 2016 y 2017</w:t>
      </w:r>
      <w:r w:rsidR="00060F32" w:rsidRPr="00D61FCE">
        <w:t>, de diversas entidades del  sector público</w:t>
      </w:r>
      <w:r w:rsidR="00172B69">
        <w:t>: Ministerio de Salud y su red de servicios</w:t>
      </w:r>
      <w:r w:rsidR="00060F32" w:rsidRPr="00D61FCE">
        <w:t xml:space="preserve">, </w:t>
      </w:r>
      <w:r w:rsidR="00172B69">
        <w:t>Instituto Nicaragüense de Seguridad Social como financiador de las prestaciones de servicios de salud de la población asegurada, Ministerio de Gobernación</w:t>
      </w:r>
      <w:r w:rsidR="00A76608">
        <w:t xml:space="preserve"> que realiza </w:t>
      </w:r>
      <w:r w:rsidR="0055599C">
        <w:t>intervenciones dirigida a los privados</w:t>
      </w:r>
      <w:r w:rsidR="00A76608">
        <w:t xml:space="preserve"> de libertad, </w:t>
      </w:r>
      <w:r w:rsidR="00060F32" w:rsidRPr="00D61FCE">
        <w:t>de la cooperación internacional, de las organizaciones</w:t>
      </w:r>
      <w:r w:rsidR="00060F32">
        <w:t xml:space="preserve"> sociales</w:t>
      </w:r>
      <w:r w:rsidR="00060F32" w:rsidRPr="00D61FCE">
        <w:t xml:space="preserve"> implicadas en la respuesta a la tuberculosis y, del sector privado (entre ellos el gasto de bolsillo). También </w:t>
      </w:r>
      <w:r w:rsidR="00060F32">
        <w:t xml:space="preserve">se recabó </w:t>
      </w:r>
      <w:r w:rsidR="00060F32" w:rsidRPr="00D61FCE">
        <w:t xml:space="preserve">información cualitativa que </w:t>
      </w:r>
      <w:r w:rsidR="00060F32">
        <w:t>permitió</w:t>
      </w:r>
      <w:r w:rsidR="00060F32" w:rsidRPr="00D61FCE">
        <w:t xml:space="preserve"> establecer los flujos y procesos de ejecución del gasto y la interrelación</w:t>
      </w:r>
      <w:r w:rsidR="00060F32">
        <w:t xml:space="preserve"> d</w:t>
      </w:r>
      <w:r w:rsidR="00060F32" w:rsidRPr="00D61FCE">
        <w:t xml:space="preserve">el sector público y </w:t>
      </w:r>
      <w:r w:rsidR="00384711">
        <w:t>otros sectores</w:t>
      </w:r>
      <w:r w:rsidR="00060F32" w:rsidRPr="00D61FCE">
        <w:t xml:space="preserve"> en la provisión de servicios.</w:t>
      </w:r>
    </w:p>
    <w:p w:rsidR="00060F32" w:rsidRDefault="002B72C6" w:rsidP="00060F32">
      <w:pPr>
        <w:rPr>
          <w:sz w:val="24"/>
          <w:szCs w:val="24"/>
        </w:rPr>
      </w:pPr>
      <w:r>
        <w:t>Se aseguró</w:t>
      </w:r>
      <w:r w:rsidR="00060F32">
        <w:t xml:space="preserve"> que la metodología cumpla con estándares mínimos de calidad buscando la posibilidad de replicarla para realizar comparaciones con estudios anteriores y posteriores. En este </w:t>
      </w:r>
      <w:r w:rsidR="0036265F">
        <w:t>sentido, para</w:t>
      </w:r>
      <w:r w:rsidR="00060F32">
        <w:t xml:space="preserve"> el </w:t>
      </w:r>
      <w:r>
        <w:t xml:space="preserve">desarrollo del estudio se </w:t>
      </w:r>
      <w:r w:rsidR="0036265F">
        <w:t>tomó como</w:t>
      </w:r>
      <w:r w:rsidR="00060F32">
        <w:t xml:space="preserve"> base y punto </w:t>
      </w:r>
      <w:r>
        <w:t>de partida el estudio de medición del gasto en tuberculosis de los años 2014 y 2015</w:t>
      </w:r>
      <w:r w:rsidR="00060F32">
        <w:t xml:space="preserve"> con la finalidad </w:t>
      </w:r>
      <w:r w:rsidR="00F316AB">
        <w:t xml:space="preserve">de </w:t>
      </w:r>
      <w:r w:rsidR="00060F32">
        <w:t xml:space="preserve">que la información </w:t>
      </w:r>
      <w:r>
        <w:t>resultante del estudio sea comparable.</w:t>
      </w:r>
    </w:p>
    <w:p w:rsidR="00060F32" w:rsidRDefault="00060F32" w:rsidP="00060F32">
      <w:r w:rsidRPr="002B72C6">
        <w:t xml:space="preserve">El trabajo </w:t>
      </w:r>
      <w:r w:rsidR="002B72C6">
        <w:t xml:space="preserve">realizado se refiere </w:t>
      </w:r>
      <w:r w:rsidR="0036265F">
        <w:t xml:space="preserve">a </w:t>
      </w:r>
      <w:r w:rsidR="0036265F" w:rsidRPr="002B72C6">
        <w:t>la</w:t>
      </w:r>
      <w:r w:rsidRPr="002B72C6">
        <w:t xml:space="preserve"> presentación de la informac</w:t>
      </w:r>
      <w:r w:rsidR="004D6926">
        <w:t>ión para el ámbito nacional, se</w:t>
      </w:r>
      <w:r w:rsidR="002B72C6">
        <w:t xml:space="preserve"> ha incluido una ma</w:t>
      </w:r>
      <w:r w:rsidR="004D6926">
        <w:t>triz que contiene</w:t>
      </w:r>
      <w:r w:rsidR="002B72C6">
        <w:t xml:space="preserve"> </w:t>
      </w:r>
      <w:r w:rsidR="0036265F">
        <w:t xml:space="preserve">todos </w:t>
      </w:r>
      <w:r w:rsidR="0036265F" w:rsidRPr="002B72C6">
        <w:t>los</w:t>
      </w:r>
      <w:r w:rsidRPr="002B72C6">
        <w:t xml:space="preserve"> datos financieros por </w:t>
      </w:r>
      <w:r w:rsidR="0036265F" w:rsidRPr="002B72C6">
        <w:t xml:space="preserve">entidad </w:t>
      </w:r>
      <w:r w:rsidR="0036265F">
        <w:t>(</w:t>
      </w:r>
      <w:r w:rsidR="002B72C6">
        <w:t>MINSA, INSS</w:t>
      </w:r>
      <w:r w:rsidR="00384711">
        <w:t xml:space="preserve"> y las Instituciones Prestadores de Servicios de Salud</w:t>
      </w:r>
      <w:r w:rsidR="002B72C6">
        <w:t>, Unidad d</w:t>
      </w:r>
      <w:r w:rsidR="00A76608">
        <w:t xml:space="preserve">e Proyectos del INSS, MIGOB, ICAD, la Fundación Damián </w:t>
      </w:r>
      <w:r w:rsidR="002B72C6">
        <w:t>y</w:t>
      </w:r>
      <w:r w:rsidRPr="002B72C6">
        <w:t xml:space="preserve"> los gastos de bolsillo por diferentes conceptos, a partir de los cuales </w:t>
      </w:r>
      <w:r w:rsidR="002B72C6">
        <w:t>se generan</w:t>
      </w:r>
      <w:r w:rsidRPr="002B72C6">
        <w:t xml:space="preserve"> los diferentes reportes </w:t>
      </w:r>
      <w:r w:rsidR="002B72C6">
        <w:t>tabla</w:t>
      </w:r>
      <w:r w:rsidR="004D6926">
        <w:t xml:space="preserve">s de salida.  En todo el proceso se </w:t>
      </w:r>
      <w:r w:rsidR="0036265F">
        <w:t>tomó</w:t>
      </w:r>
      <w:r w:rsidR="0036265F" w:rsidRPr="002B72C6">
        <w:t xml:space="preserve"> en</w:t>
      </w:r>
      <w:r w:rsidRPr="002B72C6">
        <w:t xml:space="preserve"> cuenta el punto de vista de las contrapartes técnicas del Programa Nacional de Tuberculosis, Receptor Principal y Sub Receptores</w:t>
      </w:r>
      <w:r>
        <w:t xml:space="preserve">. </w:t>
      </w:r>
    </w:p>
    <w:p w:rsidR="00225332" w:rsidRDefault="0036265F" w:rsidP="00225332">
      <w:r>
        <w:t>El marco</w:t>
      </w:r>
      <w:r w:rsidR="005E6E04">
        <w:t xml:space="preserve"> metodológico utilizado para la </w:t>
      </w:r>
      <w:r w:rsidR="009C15E7">
        <w:t xml:space="preserve">Medición del Gasto en Tuberculosis </w:t>
      </w:r>
      <w:r w:rsidR="0055599C">
        <w:t>está centrado</w:t>
      </w:r>
      <w:r w:rsidR="00225332">
        <w:t xml:space="preserve"> en identificar los flujos financieros relacionados con la respuesta nacional </w:t>
      </w:r>
      <w:r w:rsidR="00384711">
        <w:t xml:space="preserve">y </w:t>
      </w:r>
      <w:r w:rsidR="007E3412">
        <w:t>se organizaron</w:t>
      </w:r>
      <w:r w:rsidR="00225332">
        <w:t xml:space="preserve"> en tres dimensiones: financiación, provisión y consumo.</w:t>
      </w:r>
    </w:p>
    <w:p w:rsidR="007E3412" w:rsidRDefault="00225332" w:rsidP="003B0A5A">
      <w:pPr>
        <w:pStyle w:val="Prrafodelista"/>
        <w:numPr>
          <w:ilvl w:val="0"/>
          <w:numId w:val="29"/>
        </w:numPr>
        <w:spacing w:before="0" w:beforeAutospacing="0" w:after="160" w:afterAutospacing="0" w:line="259" w:lineRule="auto"/>
        <w:ind w:left="426" w:hanging="426"/>
        <w:jc w:val="left"/>
      </w:pPr>
      <w:r w:rsidRPr="007E3412">
        <w:rPr>
          <w:b/>
        </w:rPr>
        <w:t>Financiación</w:t>
      </w:r>
      <w:r>
        <w:t xml:space="preserve">: </w:t>
      </w:r>
    </w:p>
    <w:p w:rsidR="00227A05" w:rsidRDefault="003B0A5A" w:rsidP="003B0A5A">
      <w:pPr>
        <w:pStyle w:val="Prrafodelista"/>
        <w:numPr>
          <w:ilvl w:val="1"/>
          <w:numId w:val="29"/>
        </w:numPr>
        <w:spacing w:before="0" w:beforeAutospacing="0" w:after="160" w:afterAutospacing="0" w:line="259" w:lineRule="auto"/>
        <w:jc w:val="left"/>
      </w:pPr>
      <w:r w:rsidRPr="003B0A5A">
        <w:rPr>
          <w:b/>
        </w:rPr>
        <w:t>Fuentes</w:t>
      </w:r>
      <w:r w:rsidR="00003B2A">
        <w:rPr>
          <w:b/>
        </w:rPr>
        <w:t>:</w:t>
      </w:r>
      <w:r w:rsidR="00A76608">
        <w:rPr>
          <w:b/>
        </w:rPr>
        <w:t xml:space="preserve"> </w:t>
      </w:r>
      <w:r w:rsidR="00225332">
        <w:t>constituida por las entidades que proporcionan diner</w:t>
      </w:r>
      <w:r w:rsidR="00227A05">
        <w:t>o a los agentes de financiación:</w:t>
      </w:r>
    </w:p>
    <w:p w:rsidR="00227A05" w:rsidRDefault="00227A05" w:rsidP="007E3412">
      <w:pPr>
        <w:pStyle w:val="Prrafodelista"/>
        <w:numPr>
          <w:ilvl w:val="0"/>
          <w:numId w:val="27"/>
        </w:numPr>
        <w:spacing w:before="0" w:beforeAutospacing="0" w:after="160" w:afterAutospacing="0" w:line="259" w:lineRule="auto"/>
        <w:jc w:val="left"/>
      </w:pPr>
      <w:r>
        <w:t xml:space="preserve">Fuentes Publicas que incluye: </w:t>
      </w:r>
    </w:p>
    <w:p w:rsidR="00227A05" w:rsidRDefault="00227A05" w:rsidP="007E3412">
      <w:pPr>
        <w:pStyle w:val="Prrafodelista"/>
        <w:numPr>
          <w:ilvl w:val="1"/>
          <w:numId w:val="27"/>
        </w:numPr>
      </w:pPr>
      <w:r>
        <w:t xml:space="preserve">Recursos del </w:t>
      </w:r>
      <w:r w:rsidR="00384711">
        <w:t>tesoro Gobierno Central</w:t>
      </w:r>
    </w:p>
    <w:p w:rsidR="00225332" w:rsidRDefault="00227A05" w:rsidP="007E3412">
      <w:pPr>
        <w:pStyle w:val="Prrafodelista"/>
        <w:numPr>
          <w:ilvl w:val="1"/>
          <w:numId w:val="27"/>
        </w:numPr>
      </w:pPr>
      <w:r>
        <w:lastRenderedPageBreak/>
        <w:t>El Instituto Nicaragüense de Seguridad Social con las aportaciones de los empleadores y de los trabajadores</w:t>
      </w:r>
      <w:r w:rsidR="00384711">
        <w:t>.</w:t>
      </w:r>
    </w:p>
    <w:p w:rsidR="00225332" w:rsidRDefault="00227A05" w:rsidP="007E3412">
      <w:pPr>
        <w:pStyle w:val="Prrafodelista"/>
        <w:numPr>
          <w:ilvl w:val="0"/>
          <w:numId w:val="27"/>
        </w:numPr>
      </w:pPr>
      <w:r>
        <w:t>Fuentes Intern</w:t>
      </w:r>
      <w:r w:rsidR="00225332">
        <w:t>a</w:t>
      </w:r>
      <w:r>
        <w:t>cionales incluye</w:t>
      </w:r>
      <w:r w:rsidR="00225332">
        <w:t xml:space="preserve">: </w:t>
      </w:r>
    </w:p>
    <w:p w:rsidR="00227A05" w:rsidRDefault="00227A05" w:rsidP="007E3412">
      <w:pPr>
        <w:pStyle w:val="Prrafodelista"/>
        <w:numPr>
          <w:ilvl w:val="1"/>
          <w:numId w:val="27"/>
        </w:numPr>
      </w:pPr>
      <w:r w:rsidRPr="00227A05">
        <w:t>Fondo Mundial para la Lucha contra el Sida, la Tuberculosis y la Malaria</w:t>
      </w:r>
    </w:p>
    <w:p w:rsidR="00227A05" w:rsidRDefault="00227A05" w:rsidP="007E3412">
      <w:pPr>
        <w:pStyle w:val="Prrafodelista"/>
        <w:numPr>
          <w:ilvl w:val="1"/>
          <w:numId w:val="27"/>
        </w:numPr>
      </w:pPr>
      <w:r>
        <w:t>Fondos Internacionales privados, básicamente recursos de donaciones privadas gestionados por la Fundación Damián</w:t>
      </w:r>
    </w:p>
    <w:p w:rsidR="00227A05" w:rsidRDefault="00227A05" w:rsidP="007E3412">
      <w:pPr>
        <w:pStyle w:val="Prrafodelista"/>
        <w:numPr>
          <w:ilvl w:val="0"/>
          <w:numId w:val="27"/>
        </w:numPr>
      </w:pPr>
      <w:r>
        <w:t xml:space="preserve">Fuentes Privadas: </w:t>
      </w:r>
      <w:r w:rsidR="007E3412">
        <w:t>constituida</w:t>
      </w:r>
      <w:r>
        <w:t xml:space="preserve"> por los gastos de bolsillo de las personas TB</w:t>
      </w:r>
    </w:p>
    <w:p w:rsidR="007E3412" w:rsidRDefault="007E3412" w:rsidP="003B0A5A">
      <w:pPr>
        <w:pStyle w:val="Prrafodelista"/>
        <w:numPr>
          <w:ilvl w:val="1"/>
          <w:numId w:val="30"/>
        </w:numPr>
        <w:ind w:left="1134" w:hanging="708"/>
      </w:pPr>
      <w:r w:rsidRPr="003B0A5A">
        <w:rPr>
          <w:b/>
        </w:rPr>
        <w:t>Agentes:</w:t>
      </w:r>
      <w:r>
        <w:t xml:space="preserve"> Son entidades que concentran recursos financieros de diferentes fuentes de financiamiento y los transfieren para pagar o comprar cuidados de salud u otros bienes y servicios. Se identificaron al Ministerio de Salud, al Instituto Nicaragüense de Seguridad Social y la Fundación Damián.</w:t>
      </w:r>
    </w:p>
    <w:p w:rsidR="003B0A5A" w:rsidRPr="003B0A5A" w:rsidRDefault="003B0A5A" w:rsidP="003B0A5A">
      <w:pPr>
        <w:pStyle w:val="Prrafodelista"/>
        <w:numPr>
          <w:ilvl w:val="0"/>
          <w:numId w:val="29"/>
        </w:numPr>
        <w:ind w:left="426" w:hanging="284"/>
        <w:rPr>
          <w:b/>
        </w:rPr>
      </w:pPr>
      <w:r w:rsidRPr="003B0A5A">
        <w:rPr>
          <w:b/>
        </w:rPr>
        <w:t>Provisión de Servicios para la TB</w:t>
      </w:r>
    </w:p>
    <w:p w:rsidR="007E3412" w:rsidRPr="003B0A5A" w:rsidRDefault="007E3412" w:rsidP="003B0A5A">
      <w:pPr>
        <w:pStyle w:val="Prrafodelista"/>
        <w:numPr>
          <w:ilvl w:val="1"/>
          <w:numId w:val="29"/>
        </w:numPr>
      </w:pPr>
      <w:r w:rsidRPr="00D83E86">
        <w:rPr>
          <w:lang w:val="es-NI"/>
        </w:rPr>
        <w:t>Prestadores de Servicios o Proveedores de Servicio</w:t>
      </w:r>
      <w:r w:rsidRPr="003B0A5A">
        <w:rPr>
          <w:lang w:val="es-NI"/>
        </w:rPr>
        <w:t xml:space="preserve">: Entidades que participan directamente en la producción o entrega de bienes y </w:t>
      </w:r>
      <w:r w:rsidR="002B72C6">
        <w:rPr>
          <w:lang w:val="es-NI"/>
        </w:rPr>
        <w:t>servicios para la TB; hospitales, centros de salud, albergues y centros comunitarios.</w:t>
      </w:r>
    </w:p>
    <w:p w:rsidR="003B0A5A" w:rsidRPr="003B0A5A" w:rsidRDefault="003B0A5A" w:rsidP="003B0A5A">
      <w:pPr>
        <w:pStyle w:val="Prrafodelista"/>
        <w:numPr>
          <w:ilvl w:val="1"/>
          <w:numId w:val="31"/>
        </w:numPr>
      </w:pPr>
      <w:r w:rsidRPr="003B0A5A">
        <w:rPr>
          <w:lang w:val="es-NI"/>
        </w:rPr>
        <w:t>Los factores de producción/costos</w:t>
      </w:r>
      <w:r w:rsidR="00A76608">
        <w:rPr>
          <w:lang w:val="es-NI"/>
        </w:rPr>
        <w:t xml:space="preserve"> de recursos e insumos</w:t>
      </w:r>
      <w:r w:rsidRPr="003B0A5A">
        <w:rPr>
          <w:lang w:val="es-NI"/>
        </w:rPr>
        <w:t xml:space="preserve"> (</w:t>
      </w:r>
      <w:r>
        <w:rPr>
          <w:lang w:val="es-NI"/>
        </w:rPr>
        <w:t>salarios</w:t>
      </w:r>
      <w:r w:rsidRPr="003B0A5A">
        <w:rPr>
          <w:lang w:val="es-NI"/>
        </w:rPr>
        <w:t xml:space="preserve">, </w:t>
      </w:r>
      <w:r>
        <w:rPr>
          <w:lang w:val="es-NI"/>
        </w:rPr>
        <w:t>medicamentos, reactivos</w:t>
      </w:r>
      <w:r w:rsidR="00C917F6">
        <w:rPr>
          <w:lang w:val="es-NI"/>
        </w:rPr>
        <w:t>,</w:t>
      </w:r>
      <w:r>
        <w:rPr>
          <w:lang w:val="es-NI"/>
        </w:rPr>
        <w:t xml:space="preserve"> </w:t>
      </w:r>
      <w:r w:rsidR="0036265F">
        <w:rPr>
          <w:lang w:val="es-NI"/>
        </w:rPr>
        <w:t xml:space="preserve">recursos </w:t>
      </w:r>
      <w:r w:rsidR="0036265F" w:rsidRPr="003B0A5A">
        <w:rPr>
          <w:lang w:val="es-NI"/>
        </w:rPr>
        <w:t>técnicos</w:t>
      </w:r>
      <w:r w:rsidRPr="003B0A5A">
        <w:rPr>
          <w:lang w:val="es-NI"/>
        </w:rPr>
        <w:t xml:space="preserve"> y </w:t>
      </w:r>
      <w:r>
        <w:rPr>
          <w:lang w:val="es-NI"/>
        </w:rPr>
        <w:t>otros</w:t>
      </w:r>
      <w:r w:rsidRPr="003B0A5A">
        <w:rPr>
          <w:lang w:val="es-NI"/>
        </w:rPr>
        <w:t>).</w:t>
      </w:r>
    </w:p>
    <w:p w:rsidR="003B0A5A" w:rsidRPr="003B0A5A" w:rsidRDefault="003B0A5A" w:rsidP="002C026A">
      <w:pPr>
        <w:pStyle w:val="Prrafodelista"/>
        <w:numPr>
          <w:ilvl w:val="0"/>
          <w:numId w:val="31"/>
        </w:numPr>
        <w:ind w:hanging="218"/>
        <w:rPr>
          <w:b/>
        </w:rPr>
      </w:pPr>
      <w:r w:rsidRPr="003B0A5A">
        <w:rPr>
          <w:b/>
          <w:lang w:val="es-NI"/>
        </w:rPr>
        <w:t>Consumo</w:t>
      </w:r>
    </w:p>
    <w:p w:rsidR="00C5285E" w:rsidRDefault="002C026A" w:rsidP="00384711">
      <w:pPr>
        <w:ind w:left="426"/>
        <w:rPr>
          <w:lang w:val="es-NI"/>
        </w:rPr>
      </w:pPr>
      <w:r>
        <w:rPr>
          <w:lang w:val="es-NI"/>
        </w:rPr>
        <w:t xml:space="preserve">3.1. </w:t>
      </w:r>
      <w:r w:rsidRPr="002C026A">
        <w:rPr>
          <w:lang w:val="es-NI"/>
        </w:rPr>
        <w:t xml:space="preserve">Las categorías de gasto relacionados a la TB son intervenciones y actividades relacionadas con </w:t>
      </w:r>
      <w:r w:rsidR="00C917F6">
        <w:rPr>
          <w:lang w:val="es-NI"/>
        </w:rPr>
        <w:t>TB</w:t>
      </w:r>
      <w:r w:rsidR="00384711">
        <w:rPr>
          <w:lang w:val="es-NI"/>
        </w:rPr>
        <w:t xml:space="preserve">. </w:t>
      </w:r>
    </w:p>
    <w:p w:rsidR="002C026A" w:rsidRDefault="002C026A" w:rsidP="002C026A">
      <w:pPr>
        <w:ind w:left="426"/>
        <w:rPr>
          <w:lang w:val="es-NI"/>
        </w:rPr>
      </w:pPr>
      <w:r>
        <w:rPr>
          <w:lang w:val="es-NI"/>
        </w:rPr>
        <w:t xml:space="preserve">3.2.  </w:t>
      </w:r>
      <w:r w:rsidRPr="002C026A">
        <w:rPr>
          <w:lang w:val="es-NI"/>
        </w:rPr>
        <w:t>Los segmentos beneficiarios de la población o Población</w:t>
      </w:r>
      <w:r w:rsidR="00567235">
        <w:rPr>
          <w:lang w:val="es-NI"/>
        </w:rPr>
        <w:t xml:space="preserve"> beneficiaria </w:t>
      </w:r>
      <w:r>
        <w:rPr>
          <w:lang w:val="es-NI"/>
        </w:rPr>
        <w:t>se categorizaron de acuerdo a las definidas en el Plan Estratégico Nacional</w:t>
      </w:r>
      <w:r w:rsidR="0055229C">
        <w:rPr>
          <w:lang w:val="es-NI"/>
        </w:rPr>
        <w:t xml:space="preserve"> (PEN)</w:t>
      </w:r>
      <w:r>
        <w:rPr>
          <w:lang w:val="es-NI"/>
        </w:rPr>
        <w:t xml:space="preserve">: </w:t>
      </w:r>
    </w:p>
    <w:p w:rsidR="00C5285E" w:rsidRPr="00567235" w:rsidRDefault="00530812" w:rsidP="00567235">
      <w:pPr>
        <w:pStyle w:val="Prrafodelista"/>
        <w:numPr>
          <w:ilvl w:val="2"/>
          <w:numId w:val="27"/>
        </w:numPr>
        <w:spacing w:before="0" w:beforeAutospacing="0" w:after="0" w:afterAutospacing="0" w:line="240" w:lineRule="auto"/>
        <w:ind w:left="2852" w:hanging="703"/>
        <w:rPr>
          <w:lang w:val="es-NI"/>
        </w:rPr>
      </w:pPr>
      <w:r>
        <w:rPr>
          <w:lang w:val="es-NI"/>
        </w:rPr>
        <w:t>Pacientes con TB</w:t>
      </w:r>
    </w:p>
    <w:p w:rsidR="00C5285E" w:rsidRPr="00567235" w:rsidRDefault="00C5285E" w:rsidP="00567235">
      <w:pPr>
        <w:pStyle w:val="Prrafodelista"/>
        <w:numPr>
          <w:ilvl w:val="2"/>
          <w:numId w:val="27"/>
        </w:numPr>
        <w:spacing w:before="0" w:beforeAutospacing="0" w:after="0" w:afterAutospacing="0" w:line="240" w:lineRule="auto"/>
        <w:ind w:left="2852" w:hanging="703"/>
        <w:rPr>
          <w:lang w:val="es-NI"/>
        </w:rPr>
      </w:pPr>
      <w:r w:rsidRPr="00567235">
        <w:rPr>
          <w:lang w:val="es-NI"/>
        </w:rPr>
        <w:t xml:space="preserve">Trabajadores de la Salud </w:t>
      </w:r>
    </w:p>
    <w:p w:rsidR="00C5285E" w:rsidRPr="00567235" w:rsidRDefault="00C5285E" w:rsidP="00567235">
      <w:pPr>
        <w:pStyle w:val="Prrafodelista"/>
        <w:numPr>
          <w:ilvl w:val="2"/>
          <w:numId w:val="27"/>
        </w:numPr>
        <w:spacing w:before="0" w:beforeAutospacing="0" w:after="0" w:afterAutospacing="0" w:line="240" w:lineRule="auto"/>
        <w:ind w:left="2852" w:hanging="703"/>
        <w:rPr>
          <w:lang w:val="es-NI"/>
        </w:rPr>
      </w:pPr>
      <w:r w:rsidRPr="00567235">
        <w:rPr>
          <w:lang w:val="es-NI"/>
        </w:rPr>
        <w:t>Privados (as) de libertad</w:t>
      </w:r>
    </w:p>
    <w:p w:rsidR="00C5285E" w:rsidRPr="00567235" w:rsidRDefault="00C5285E" w:rsidP="00567235">
      <w:pPr>
        <w:pStyle w:val="Prrafodelista"/>
        <w:numPr>
          <w:ilvl w:val="2"/>
          <w:numId w:val="27"/>
        </w:numPr>
        <w:spacing w:before="0" w:beforeAutospacing="0" w:after="0" w:afterAutospacing="0" w:line="240" w:lineRule="auto"/>
        <w:ind w:left="2852" w:hanging="703"/>
        <w:rPr>
          <w:lang w:val="es-NI"/>
        </w:rPr>
      </w:pPr>
      <w:r w:rsidRPr="00567235">
        <w:rPr>
          <w:lang w:val="es-NI"/>
        </w:rPr>
        <w:t>Adultos mayores de 65 años</w:t>
      </w:r>
    </w:p>
    <w:p w:rsidR="00C5285E" w:rsidRPr="00567235" w:rsidRDefault="00C5285E" w:rsidP="00567235">
      <w:pPr>
        <w:pStyle w:val="Prrafodelista"/>
        <w:numPr>
          <w:ilvl w:val="2"/>
          <w:numId w:val="27"/>
        </w:numPr>
        <w:spacing w:before="0" w:beforeAutospacing="0" w:after="0" w:afterAutospacing="0" w:line="240" w:lineRule="auto"/>
        <w:ind w:left="2852" w:hanging="703"/>
        <w:rPr>
          <w:lang w:val="es-NI"/>
        </w:rPr>
      </w:pPr>
      <w:r w:rsidRPr="00567235">
        <w:rPr>
          <w:lang w:val="es-NI"/>
        </w:rPr>
        <w:t>Personas con VIH</w:t>
      </w:r>
    </w:p>
    <w:p w:rsidR="00C5285E" w:rsidRPr="00567235" w:rsidRDefault="00C5285E" w:rsidP="00567235">
      <w:pPr>
        <w:pStyle w:val="Prrafodelista"/>
        <w:numPr>
          <w:ilvl w:val="2"/>
          <w:numId w:val="27"/>
        </w:numPr>
        <w:spacing w:before="0" w:beforeAutospacing="0" w:after="0" w:afterAutospacing="0" w:line="240" w:lineRule="auto"/>
        <w:ind w:left="2852" w:hanging="703"/>
        <w:rPr>
          <w:lang w:val="es-NI"/>
        </w:rPr>
      </w:pPr>
      <w:r w:rsidRPr="00567235">
        <w:rPr>
          <w:lang w:val="es-NI"/>
        </w:rPr>
        <w:t xml:space="preserve">Contacto </w:t>
      </w:r>
      <w:r w:rsidR="005F3D76">
        <w:rPr>
          <w:lang w:val="es-NI"/>
        </w:rPr>
        <w:t>con pacientes Tuberculosis M</w:t>
      </w:r>
      <w:r w:rsidR="004364BE">
        <w:rPr>
          <w:lang w:val="es-NI"/>
        </w:rPr>
        <w:t>u</w:t>
      </w:r>
      <w:r w:rsidR="005F3D76">
        <w:rPr>
          <w:lang w:val="es-NI"/>
        </w:rPr>
        <w:t xml:space="preserve">lti Resistente a los </w:t>
      </w:r>
      <w:r w:rsidR="0036265F">
        <w:rPr>
          <w:lang w:val="es-NI"/>
        </w:rPr>
        <w:t>Fármacos TB</w:t>
      </w:r>
      <w:r w:rsidRPr="00567235">
        <w:rPr>
          <w:lang w:val="es-NI"/>
        </w:rPr>
        <w:t>/DR</w:t>
      </w:r>
    </w:p>
    <w:p w:rsidR="00C5285E" w:rsidRPr="00567235" w:rsidRDefault="00C5285E" w:rsidP="00567235">
      <w:pPr>
        <w:pStyle w:val="Prrafodelista"/>
        <w:numPr>
          <w:ilvl w:val="2"/>
          <w:numId w:val="27"/>
        </w:numPr>
        <w:spacing w:before="0" w:beforeAutospacing="0" w:after="0" w:afterAutospacing="0" w:line="240" w:lineRule="auto"/>
        <w:ind w:left="2852" w:hanging="703"/>
        <w:rPr>
          <w:lang w:val="es-NI"/>
        </w:rPr>
      </w:pPr>
      <w:r w:rsidRPr="00567235">
        <w:rPr>
          <w:lang w:val="es-NI"/>
        </w:rPr>
        <w:t>Mujeres embarazadas y niños</w:t>
      </w:r>
    </w:p>
    <w:p w:rsidR="00C5285E" w:rsidRPr="00567235" w:rsidRDefault="00C5285E" w:rsidP="00567235">
      <w:pPr>
        <w:pStyle w:val="Prrafodelista"/>
        <w:numPr>
          <w:ilvl w:val="2"/>
          <w:numId w:val="27"/>
        </w:numPr>
        <w:spacing w:before="0" w:beforeAutospacing="0" w:after="0" w:afterAutospacing="0" w:line="240" w:lineRule="auto"/>
        <w:ind w:left="2852" w:hanging="703"/>
        <w:rPr>
          <w:lang w:val="es-NI"/>
        </w:rPr>
      </w:pPr>
      <w:r w:rsidRPr="00567235">
        <w:rPr>
          <w:lang w:val="es-NI"/>
        </w:rPr>
        <w:t>Pacientes con diabetes.</w:t>
      </w:r>
    </w:p>
    <w:p w:rsidR="00D83E86" w:rsidRPr="00567235" w:rsidRDefault="00C5285E" w:rsidP="00567235">
      <w:pPr>
        <w:pStyle w:val="Prrafodelista"/>
        <w:numPr>
          <w:ilvl w:val="2"/>
          <w:numId w:val="27"/>
        </w:numPr>
        <w:spacing w:before="0" w:beforeAutospacing="0" w:after="0" w:afterAutospacing="0" w:line="240" w:lineRule="auto"/>
        <w:ind w:left="2852" w:hanging="703"/>
        <w:rPr>
          <w:lang w:val="es-NI"/>
        </w:rPr>
      </w:pPr>
      <w:r w:rsidRPr="00567235">
        <w:rPr>
          <w:lang w:val="es-NI"/>
        </w:rPr>
        <w:t>Adictos a drogas y alcohol</w:t>
      </w:r>
    </w:p>
    <w:p w:rsidR="00EB6A4B" w:rsidRPr="00384711" w:rsidRDefault="00EB6A4B" w:rsidP="001C6CF5">
      <w:pPr>
        <w:pStyle w:val="Ttulo2"/>
        <w:rPr>
          <w:b/>
        </w:rPr>
      </w:pPr>
      <w:bookmarkStart w:id="6" w:name="_Toc529102104"/>
      <w:r w:rsidRPr="00384711">
        <w:rPr>
          <w:b/>
        </w:rPr>
        <w:lastRenderedPageBreak/>
        <w:t>Metodología de trabajo</w:t>
      </w:r>
      <w:bookmarkEnd w:id="6"/>
    </w:p>
    <w:p w:rsidR="00EB6A4B" w:rsidRPr="00F34C92" w:rsidRDefault="00EB6A4B" w:rsidP="00F34C92">
      <w:pPr>
        <w:pStyle w:val="Lista2"/>
        <w:numPr>
          <w:ilvl w:val="0"/>
          <w:numId w:val="19"/>
        </w:numPr>
        <w:rPr>
          <w:lang w:val="es-HN"/>
        </w:rPr>
      </w:pPr>
      <w:r w:rsidRPr="00F34C92">
        <w:rPr>
          <w:lang w:val="es-HN"/>
        </w:rPr>
        <w:t>Conformación del Equipo Técnico de Medición del Gasto en TB</w:t>
      </w:r>
    </w:p>
    <w:p w:rsidR="002C026A" w:rsidRDefault="00EB6A4B" w:rsidP="002C026A">
      <w:r>
        <w:t>El rastreo de los gastos en TB de las distintas instancias que integran la respuesta nacional</w:t>
      </w:r>
      <w:r w:rsidR="002066FF">
        <w:t xml:space="preserve"> es una tarea ardua que requirió</w:t>
      </w:r>
      <w:r>
        <w:t xml:space="preserve"> del apoyo y compromiso de to</w:t>
      </w:r>
      <w:r w:rsidR="00A76608">
        <w:t xml:space="preserve">dos los actores, para lograr </w:t>
      </w:r>
      <w:r w:rsidR="004D6926">
        <w:t xml:space="preserve">visibilizar los </w:t>
      </w:r>
      <w:r w:rsidR="0036265F">
        <w:t>actores de</w:t>
      </w:r>
      <w:r>
        <w:t xml:space="preserve"> una respuesta nacional integrada. Es por ello, que se </w:t>
      </w:r>
      <w:r w:rsidR="002C026A">
        <w:t>conformó</w:t>
      </w:r>
      <w:r>
        <w:t xml:space="preserve"> un Equipo Técnico para el estudio</w:t>
      </w:r>
      <w:r w:rsidR="002C026A">
        <w:t xml:space="preserve"> conformado por el Programa Nacional de Tuberculosis del MINSA</w:t>
      </w:r>
      <w:r w:rsidR="00C91DC3">
        <w:t>,</w:t>
      </w:r>
      <w:r w:rsidR="00A76608">
        <w:t xml:space="preserve"> </w:t>
      </w:r>
      <w:r w:rsidR="002C026A">
        <w:t xml:space="preserve">Instituto Nicaragüense </w:t>
      </w:r>
      <w:r w:rsidR="0036265F">
        <w:t>de Seguridad</w:t>
      </w:r>
      <w:r w:rsidR="002C026A">
        <w:t xml:space="preserve"> Social (INSS)</w:t>
      </w:r>
      <w:r w:rsidR="00651331">
        <w:t xml:space="preserve"> específicamente la Unidad de Proyectos como Receptor </w:t>
      </w:r>
      <w:r w:rsidR="0036265F">
        <w:t>Principal, Ministerio</w:t>
      </w:r>
      <w:r w:rsidR="002C026A">
        <w:t xml:space="preserve"> de Gobernación (MIGOB), Instituto contra el </w:t>
      </w:r>
      <w:r w:rsidR="0036265F">
        <w:t>Alcoholismo y</w:t>
      </w:r>
      <w:r w:rsidR="002C026A">
        <w:t xml:space="preserve"> Drogadicción (ICAD</w:t>
      </w:r>
      <w:r w:rsidR="0036265F">
        <w:t>), y la</w:t>
      </w:r>
      <w:r w:rsidR="002C026A">
        <w:t xml:space="preserve"> Fundac</w:t>
      </w:r>
      <w:r w:rsidR="00C91DC3">
        <w:t xml:space="preserve">ión </w:t>
      </w:r>
      <w:r w:rsidR="0036265F">
        <w:t>Damián con</w:t>
      </w:r>
      <w:r w:rsidR="00C91DC3">
        <w:t xml:space="preserve"> el propósito de</w:t>
      </w:r>
      <w:r w:rsidR="002C026A">
        <w:t xml:space="preserve">: </w:t>
      </w:r>
    </w:p>
    <w:p w:rsidR="00EB6A4B" w:rsidRDefault="004D6926" w:rsidP="002C026A">
      <w:pPr>
        <w:pStyle w:val="Prrafodelista"/>
        <w:numPr>
          <w:ilvl w:val="0"/>
          <w:numId w:val="35"/>
        </w:numPr>
      </w:pPr>
      <w:r>
        <w:t xml:space="preserve">Coordinación </w:t>
      </w:r>
      <w:r w:rsidR="0036265F">
        <w:t>de todas</w:t>
      </w:r>
      <w:r w:rsidR="00EB6A4B">
        <w:t xml:space="preserve"> </w:t>
      </w:r>
      <w:r w:rsidR="002C026A">
        <w:t>las actividades que se realizaro</w:t>
      </w:r>
      <w:r w:rsidR="00EB6A4B">
        <w:t>n durante el estudio</w:t>
      </w:r>
    </w:p>
    <w:p w:rsidR="00EB6A4B" w:rsidRDefault="00EB6A4B" w:rsidP="002C026A">
      <w:pPr>
        <w:pStyle w:val="Prrafodelista"/>
        <w:numPr>
          <w:ilvl w:val="0"/>
          <w:numId w:val="35"/>
        </w:numPr>
      </w:pPr>
      <w:r>
        <w:t>Discusión y aprobación de la metodología</w:t>
      </w:r>
      <w:r w:rsidR="002C026A">
        <w:t xml:space="preserve"> e instrumentos que se utilizaro</w:t>
      </w:r>
      <w:r>
        <w:t>n durante el estudio.</w:t>
      </w:r>
    </w:p>
    <w:p w:rsidR="00EB6A4B" w:rsidRDefault="00EB6A4B" w:rsidP="002C026A">
      <w:pPr>
        <w:pStyle w:val="Prrafodelista"/>
        <w:numPr>
          <w:ilvl w:val="0"/>
          <w:numId w:val="35"/>
        </w:numPr>
      </w:pPr>
      <w:r>
        <w:t>La supervisión en la recolección de los datos en las diversas instituciones y organizaciones que desarrollan actividades de promoción, prevención, atención y apoyo en TB que aportan a la respuesta nacional.</w:t>
      </w:r>
    </w:p>
    <w:p w:rsidR="00EB6A4B" w:rsidRDefault="00EB6A4B" w:rsidP="002C026A">
      <w:pPr>
        <w:pStyle w:val="Prrafodelista"/>
        <w:numPr>
          <w:ilvl w:val="0"/>
          <w:numId w:val="35"/>
        </w:numPr>
      </w:pPr>
      <w:r>
        <w:t>Establecer recomendaciones específicas, orientadas a mejorar la priorización de la respuesta nacional a la TB en los presupuestos nacionales.</w:t>
      </w:r>
    </w:p>
    <w:p w:rsidR="00384711" w:rsidRPr="00384711" w:rsidRDefault="00384711" w:rsidP="00417C8F">
      <w:pPr>
        <w:rPr>
          <w:b/>
          <w:lang w:val="es-HN"/>
        </w:rPr>
      </w:pPr>
      <w:r w:rsidRPr="00384711">
        <w:rPr>
          <w:b/>
          <w:lang w:val="es-HN"/>
        </w:rPr>
        <w:t>Fase Preparatoria</w:t>
      </w:r>
    </w:p>
    <w:p w:rsidR="00417C8F" w:rsidRPr="00AB0978" w:rsidRDefault="00417C8F" w:rsidP="00417C8F">
      <w:pPr>
        <w:rPr>
          <w:lang w:val="es-HN"/>
        </w:rPr>
      </w:pPr>
      <w:r w:rsidRPr="00AB0978">
        <w:rPr>
          <w:lang w:val="es-HN"/>
        </w:rPr>
        <w:t>Un aspecto muy importante a la hora de poder determinar los gastos</w:t>
      </w:r>
      <w:r>
        <w:rPr>
          <w:lang w:val="es-HN"/>
        </w:rPr>
        <w:t xml:space="preserve"> de la respuesta es determinar los proveedores de información y elaborar el formato de recopilación de la información del gasto de los años del estudio (2016 y 2017).</w:t>
      </w:r>
    </w:p>
    <w:p w:rsidR="00417C8F" w:rsidRDefault="00417C8F" w:rsidP="00417C8F">
      <w:pPr>
        <w:rPr>
          <w:lang w:val="es-HN"/>
        </w:rPr>
      </w:pPr>
      <w:r>
        <w:rPr>
          <w:lang w:val="es-HN"/>
        </w:rPr>
        <w:t>b.1.Formularios para recolección de datos</w:t>
      </w:r>
      <w:r w:rsidR="001A282F">
        <w:rPr>
          <w:lang w:val="es-HN"/>
        </w:rPr>
        <w:t>.</w:t>
      </w:r>
    </w:p>
    <w:p w:rsidR="00417C8F" w:rsidRDefault="00417C8F" w:rsidP="00417C8F">
      <w:pPr>
        <w:pStyle w:val="Prrafodelista"/>
        <w:numPr>
          <w:ilvl w:val="0"/>
          <w:numId w:val="49"/>
        </w:numPr>
        <w:spacing w:line="240" w:lineRule="auto"/>
        <w:rPr>
          <w:lang w:val="es-HN"/>
        </w:rPr>
      </w:pPr>
      <w:r>
        <w:rPr>
          <w:lang w:val="es-HN"/>
        </w:rPr>
        <w:t xml:space="preserve">Se elaboraron </w:t>
      </w:r>
      <w:r w:rsidR="0036265F">
        <w:rPr>
          <w:lang w:val="es-HN"/>
        </w:rPr>
        <w:t>formularios específicos</w:t>
      </w:r>
      <w:r>
        <w:rPr>
          <w:lang w:val="es-HN"/>
        </w:rPr>
        <w:t xml:space="preserve"> para cada proveedor de información</w:t>
      </w:r>
      <w:r w:rsidR="001A282F">
        <w:rPr>
          <w:lang w:val="es-HN"/>
        </w:rPr>
        <w:t>.</w:t>
      </w:r>
    </w:p>
    <w:p w:rsidR="00417C8F" w:rsidRDefault="00417C8F" w:rsidP="00417C8F">
      <w:pPr>
        <w:pStyle w:val="Prrafodelista"/>
        <w:numPr>
          <w:ilvl w:val="1"/>
          <w:numId w:val="49"/>
        </w:numPr>
        <w:spacing w:line="240" w:lineRule="auto"/>
        <w:rPr>
          <w:lang w:val="es-HN"/>
        </w:rPr>
      </w:pPr>
      <w:r>
        <w:rPr>
          <w:lang w:val="es-HN"/>
        </w:rPr>
        <w:t>Formulario para hospitales e instituciones prestadoras de servicios de salud</w:t>
      </w:r>
      <w:r w:rsidR="003219D4">
        <w:rPr>
          <w:lang w:val="es-HN"/>
        </w:rPr>
        <w:t>.</w:t>
      </w:r>
    </w:p>
    <w:p w:rsidR="00417C8F" w:rsidRDefault="00417C8F" w:rsidP="00417C8F">
      <w:pPr>
        <w:pStyle w:val="Prrafodelista"/>
        <w:numPr>
          <w:ilvl w:val="1"/>
          <w:numId w:val="49"/>
        </w:numPr>
        <w:spacing w:line="240" w:lineRule="auto"/>
        <w:rPr>
          <w:lang w:val="es-HN"/>
        </w:rPr>
      </w:pPr>
      <w:r>
        <w:rPr>
          <w:lang w:val="es-HN"/>
        </w:rPr>
        <w:t xml:space="preserve">Formulario para el Instituto Nicaragüense de </w:t>
      </w:r>
      <w:r w:rsidR="0036265F">
        <w:rPr>
          <w:lang w:val="es-HN"/>
        </w:rPr>
        <w:t>Seguridad Social</w:t>
      </w:r>
      <w:r w:rsidR="003219D4">
        <w:rPr>
          <w:lang w:val="es-HN"/>
        </w:rPr>
        <w:t xml:space="preserve"> (Gestión de Programa Tuberculosis).</w:t>
      </w:r>
    </w:p>
    <w:p w:rsidR="00417C8F" w:rsidRDefault="00417C8F" w:rsidP="00417C8F">
      <w:pPr>
        <w:pStyle w:val="Prrafodelista"/>
        <w:numPr>
          <w:ilvl w:val="1"/>
          <w:numId w:val="49"/>
        </w:numPr>
        <w:spacing w:line="240" w:lineRule="auto"/>
        <w:rPr>
          <w:lang w:val="es-HN"/>
        </w:rPr>
      </w:pPr>
      <w:r w:rsidRPr="0037630C">
        <w:rPr>
          <w:lang w:val="es-HN"/>
        </w:rPr>
        <w:t xml:space="preserve">Formulario para los Sistemas </w:t>
      </w:r>
      <w:r>
        <w:rPr>
          <w:lang w:val="es-HN"/>
        </w:rPr>
        <w:t xml:space="preserve">Locales de Atención Integral </w:t>
      </w:r>
      <w:r w:rsidR="00F316AB">
        <w:rPr>
          <w:lang w:val="es-HN"/>
        </w:rPr>
        <w:t>en Salud (SILAIS) del Ministerio de Salud.</w:t>
      </w:r>
    </w:p>
    <w:p w:rsidR="003219D4" w:rsidRDefault="003219D4" w:rsidP="00417C8F">
      <w:pPr>
        <w:pStyle w:val="Prrafodelista"/>
        <w:numPr>
          <w:ilvl w:val="1"/>
          <w:numId w:val="49"/>
        </w:numPr>
        <w:spacing w:line="240" w:lineRule="auto"/>
        <w:rPr>
          <w:lang w:val="es-HN"/>
        </w:rPr>
      </w:pPr>
      <w:r>
        <w:rPr>
          <w:lang w:val="es-HN"/>
        </w:rPr>
        <w:t>Formulario para la recopilación de los datos de la vacuna contra la tuberculosis</w:t>
      </w:r>
    </w:p>
    <w:p w:rsidR="003219D4" w:rsidRDefault="003219D4" w:rsidP="00417C8F">
      <w:pPr>
        <w:pStyle w:val="Prrafodelista"/>
        <w:numPr>
          <w:ilvl w:val="1"/>
          <w:numId w:val="49"/>
        </w:numPr>
        <w:spacing w:line="240" w:lineRule="auto"/>
        <w:rPr>
          <w:lang w:val="es-HN"/>
        </w:rPr>
      </w:pPr>
      <w:r>
        <w:rPr>
          <w:lang w:val="es-HN"/>
        </w:rPr>
        <w:lastRenderedPageBreak/>
        <w:t xml:space="preserve">Formulario para la compilación de la información de las altas hospitalarias con diagnostico </w:t>
      </w:r>
      <w:r w:rsidR="008E4968">
        <w:rPr>
          <w:lang w:val="es-HN"/>
        </w:rPr>
        <w:t>relacionada a Tuberculosis por hospital del Ministerio de Salud.</w:t>
      </w:r>
    </w:p>
    <w:p w:rsidR="00417C8F" w:rsidRDefault="00417C8F" w:rsidP="00417C8F">
      <w:pPr>
        <w:pStyle w:val="Prrafodelista"/>
        <w:numPr>
          <w:ilvl w:val="1"/>
          <w:numId w:val="49"/>
        </w:numPr>
        <w:spacing w:line="240" w:lineRule="auto"/>
        <w:rPr>
          <w:lang w:val="es-HN"/>
        </w:rPr>
      </w:pPr>
      <w:r>
        <w:rPr>
          <w:lang w:val="es-HN"/>
        </w:rPr>
        <w:t>For</w:t>
      </w:r>
      <w:r w:rsidR="003219D4">
        <w:rPr>
          <w:lang w:val="es-HN"/>
        </w:rPr>
        <w:t>mulario para los Sub Receptores.</w:t>
      </w:r>
    </w:p>
    <w:p w:rsidR="00417C8F" w:rsidRPr="002421EA" w:rsidRDefault="00417C8F" w:rsidP="00417C8F">
      <w:pPr>
        <w:pStyle w:val="Prrafodelista"/>
        <w:numPr>
          <w:ilvl w:val="1"/>
          <w:numId w:val="49"/>
        </w:numPr>
        <w:spacing w:line="240" w:lineRule="auto"/>
        <w:rPr>
          <w:lang w:val="es-PA" w:eastAsia="es-PA"/>
        </w:rPr>
      </w:pPr>
      <w:r>
        <w:rPr>
          <w:lang w:val="es-NI" w:eastAsia="es-NI"/>
        </w:rPr>
        <w:t xml:space="preserve">Formulario para el Instituto </w:t>
      </w:r>
      <w:r w:rsidRPr="004663EC">
        <w:rPr>
          <w:lang w:val="es-NI" w:eastAsia="es-NI"/>
        </w:rPr>
        <w:t>Contra la Adicció</w:t>
      </w:r>
      <w:r>
        <w:rPr>
          <w:lang w:val="es-NI" w:eastAsia="es-NI"/>
        </w:rPr>
        <w:t>n y Drogas (ICAD)</w:t>
      </w:r>
      <w:r w:rsidR="003219D4">
        <w:rPr>
          <w:lang w:val="es-NI" w:eastAsia="es-NI"/>
        </w:rPr>
        <w:t>.</w:t>
      </w:r>
    </w:p>
    <w:p w:rsidR="00417C8F" w:rsidRDefault="00417C8F" w:rsidP="00417C8F">
      <w:pPr>
        <w:pStyle w:val="Prrafodelista"/>
        <w:numPr>
          <w:ilvl w:val="1"/>
          <w:numId w:val="49"/>
        </w:numPr>
        <w:spacing w:line="240" w:lineRule="auto"/>
        <w:rPr>
          <w:lang w:val="es-PA" w:eastAsia="es-PA"/>
        </w:rPr>
      </w:pPr>
      <w:r>
        <w:rPr>
          <w:lang w:val="es-PA" w:eastAsia="es-NI"/>
        </w:rPr>
        <w:t>Formulario para el Ministerio de Gobernación</w:t>
      </w:r>
      <w:r w:rsidR="003219D4">
        <w:rPr>
          <w:lang w:val="es-PA" w:eastAsia="es-NI"/>
        </w:rPr>
        <w:t>.</w:t>
      </w:r>
    </w:p>
    <w:p w:rsidR="00417C8F" w:rsidRDefault="00417C8F" w:rsidP="00417C8F">
      <w:pPr>
        <w:pStyle w:val="Prrafodelista"/>
        <w:numPr>
          <w:ilvl w:val="1"/>
          <w:numId w:val="49"/>
        </w:numPr>
        <w:spacing w:line="240" w:lineRule="auto"/>
        <w:rPr>
          <w:lang w:val="es-PA" w:eastAsia="es-PA"/>
        </w:rPr>
      </w:pPr>
      <w:r>
        <w:rPr>
          <w:lang w:val="es-PA" w:eastAsia="es-NI"/>
        </w:rPr>
        <w:t>Formulario para la Unidad de Proyectos del INSS para recabar los datos de la subvención del Fondo Mundial</w:t>
      </w:r>
      <w:r w:rsidR="003219D4">
        <w:rPr>
          <w:lang w:val="es-PA" w:eastAsia="es-NI"/>
        </w:rPr>
        <w:t>, de Subreceptores.</w:t>
      </w:r>
    </w:p>
    <w:p w:rsidR="003219D4" w:rsidRDefault="003219D4" w:rsidP="00417C8F">
      <w:pPr>
        <w:pStyle w:val="Prrafodelista"/>
        <w:numPr>
          <w:ilvl w:val="1"/>
          <w:numId w:val="49"/>
        </w:numPr>
        <w:spacing w:line="240" w:lineRule="auto"/>
        <w:rPr>
          <w:lang w:val="es-PA" w:eastAsia="es-PA"/>
        </w:rPr>
      </w:pPr>
      <w:r>
        <w:rPr>
          <w:lang w:val="es-PA" w:eastAsia="es-NI"/>
        </w:rPr>
        <w:t>Formulario de la Unidad de Proyectos del INSS para el Financiamiento de actividades con recursos públicos del INSS.</w:t>
      </w:r>
    </w:p>
    <w:p w:rsidR="00417C8F" w:rsidRPr="00E1083E" w:rsidRDefault="001A282F" w:rsidP="00417C8F">
      <w:pPr>
        <w:rPr>
          <w:lang w:val="es-HN"/>
        </w:rPr>
      </w:pPr>
      <w:r>
        <w:rPr>
          <w:lang w:val="es-HN"/>
        </w:rPr>
        <w:t>b.2.</w:t>
      </w:r>
      <w:r w:rsidR="00417C8F">
        <w:rPr>
          <w:lang w:val="es-HN"/>
        </w:rPr>
        <w:t>1. Diseño de</w:t>
      </w:r>
      <w:r w:rsidR="00417C8F" w:rsidRPr="00E1083E">
        <w:rPr>
          <w:lang w:val="es-HN"/>
        </w:rPr>
        <w:t xml:space="preserve"> herramientas en Excel</w:t>
      </w:r>
    </w:p>
    <w:p w:rsidR="00417C8F" w:rsidRDefault="00417C8F" w:rsidP="00417C8F">
      <w:pPr>
        <w:rPr>
          <w:lang w:val="es-HN"/>
        </w:rPr>
      </w:pPr>
      <w:r>
        <w:rPr>
          <w:lang w:val="es-HN"/>
        </w:rPr>
        <w:t xml:space="preserve">Un formato en Excel, </w:t>
      </w:r>
      <w:r w:rsidRPr="00AB0978">
        <w:rPr>
          <w:lang w:val="es-HN"/>
        </w:rPr>
        <w:t xml:space="preserve">para </w:t>
      </w:r>
      <w:r>
        <w:rPr>
          <w:lang w:val="es-HN"/>
        </w:rPr>
        <w:t xml:space="preserve">procesar los datos que se </w:t>
      </w:r>
      <w:r w:rsidR="003219D4">
        <w:rPr>
          <w:lang w:val="es-HN"/>
        </w:rPr>
        <w:t xml:space="preserve">recabaron o enviaron </w:t>
      </w:r>
      <w:r>
        <w:rPr>
          <w:lang w:val="es-HN"/>
        </w:rPr>
        <w:t>cada proveedor de información</w:t>
      </w:r>
      <w:r w:rsidRPr="00AB0978">
        <w:rPr>
          <w:lang w:val="es-HN"/>
        </w:rPr>
        <w:t>,</w:t>
      </w:r>
      <w:r>
        <w:rPr>
          <w:lang w:val="es-HN"/>
        </w:rPr>
        <w:t xml:space="preserve"> codificando la fuente de financiamiento, agente financiero, prestador de </w:t>
      </w:r>
      <w:r w:rsidR="0036265F">
        <w:rPr>
          <w:lang w:val="es-HN"/>
        </w:rPr>
        <w:t>servicio, categoría</w:t>
      </w:r>
      <w:r>
        <w:rPr>
          <w:lang w:val="es-HN"/>
        </w:rPr>
        <w:t xml:space="preserve"> de gasto</w:t>
      </w:r>
      <w:r w:rsidR="00A76608">
        <w:rPr>
          <w:lang w:val="es-HN"/>
        </w:rPr>
        <w:t>,</w:t>
      </w:r>
      <w:r>
        <w:rPr>
          <w:lang w:val="es-HN"/>
        </w:rPr>
        <w:t xml:space="preserve"> factor de producción y la población beneficiaria que </w:t>
      </w:r>
      <w:r w:rsidR="003219D4">
        <w:rPr>
          <w:lang w:val="es-HN"/>
        </w:rPr>
        <w:t xml:space="preserve">fue </w:t>
      </w:r>
      <w:r>
        <w:rPr>
          <w:lang w:val="es-HN"/>
        </w:rPr>
        <w:t>llenado por el equipo consultor.</w:t>
      </w:r>
      <w:r w:rsidR="00A76608">
        <w:rPr>
          <w:lang w:val="es-HN"/>
        </w:rPr>
        <w:t xml:space="preserve"> </w:t>
      </w:r>
      <w:r>
        <w:rPr>
          <w:lang w:val="es-HN"/>
        </w:rPr>
        <w:t xml:space="preserve">En todo momento el equipo consultor </w:t>
      </w:r>
      <w:r w:rsidR="003219D4">
        <w:rPr>
          <w:lang w:val="es-HN"/>
        </w:rPr>
        <w:t xml:space="preserve">dio </w:t>
      </w:r>
      <w:r>
        <w:rPr>
          <w:lang w:val="es-HN"/>
        </w:rPr>
        <w:t xml:space="preserve">asistencia en el sitio para el llenado del mismo, en el que se </w:t>
      </w:r>
      <w:r w:rsidR="003219D4">
        <w:rPr>
          <w:lang w:val="es-HN"/>
        </w:rPr>
        <w:t xml:space="preserve">incluyó datos del </w:t>
      </w:r>
      <w:r w:rsidR="0036265F">
        <w:rPr>
          <w:lang w:val="es-HN"/>
        </w:rPr>
        <w:t>catálogo de las</w:t>
      </w:r>
      <w:r>
        <w:rPr>
          <w:lang w:val="es-HN"/>
        </w:rPr>
        <w:t xml:space="preserve"> fue</w:t>
      </w:r>
      <w:r w:rsidR="00384711">
        <w:rPr>
          <w:lang w:val="es-HN"/>
        </w:rPr>
        <w:t xml:space="preserve">ntes, agentes, </w:t>
      </w:r>
      <w:r>
        <w:rPr>
          <w:lang w:val="es-HN"/>
        </w:rPr>
        <w:t xml:space="preserve">proveedores, categorías de gastos, </w:t>
      </w:r>
      <w:r w:rsidR="0036265F">
        <w:rPr>
          <w:lang w:val="es-HN"/>
        </w:rPr>
        <w:t>poblaciones beneficiarias</w:t>
      </w:r>
      <w:r>
        <w:rPr>
          <w:lang w:val="es-HN"/>
        </w:rPr>
        <w:t xml:space="preserve"> y factores de producción anteriormente descritos.</w:t>
      </w:r>
    </w:p>
    <w:p w:rsidR="001D2DA7" w:rsidRDefault="003219D4" w:rsidP="001D2DA7">
      <w:pPr>
        <w:rPr>
          <w:lang w:val="es-HN"/>
        </w:rPr>
      </w:pPr>
      <w:r>
        <w:rPr>
          <w:lang w:val="es-HN"/>
        </w:rPr>
        <w:t xml:space="preserve">Un segundo formato en </w:t>
      </w:r>
      <w:r w:rsidR="0036265F">
        <w:rPr>
          <w:lang w:val="es-HN"/>
        </w:rPr>
        <w:t>Excel, herramienta</w:t>
      </w:r>
      <w:r w:rsidR="001D2DA7">
        <w:rPr>
          <w:lang w:val="es-HN"/>
        </w:rPr>
        <w:t xml:space="preserve"> para </w:t>
      </w:r>
      <w:r w:rsidR="00384711">
        <w:rPr>
          <w:lang w:val="es-HN"/>
        </w:rPr>
        <w:t xml:space="preserve">la </w:t>
      </w:r>
      <w:r w:rsidR="0036265F">
        <w:rPr>
          <w:lang w:val="es-HN"/>
        </w:rPr>
        <w:t>consolidación de</w:t>
      </w:r>
      <w:r w:rsidR="001D2DA7">
        <w:rPr>
          <w:lang w:val="es-HN"/>
        </w:rPr>
        <w:t xml:space="preserve"> la medición del gasto (registro de transacciones).</w:t>
      </w:r>
    </w:p>
    <w:p w:rsidR="00CF4982" w:rsidRPr="00AB0978" w:rsidRDefault="003219D4" w:rsidP="003219D4">
      <w:pPr>
        <w:rPr>
          <w:lang w:val="es-HN"/>
        </w:rPr>
      </w:pPr>
      <w:bookmarkStart w:id="7" w:name="_Toc372840252"/>
      <w:r>
        <w:rPr>
          <w:lang w:val="es-HN"/>
        </w:rPr>
        <w:t xml:space="preserve">b.2.2. </w:t>
      </w:r>
      <w:r w:rsidR="00CF4982" w:rsidRPr="00AB0978">
        <w:rPr>
          <w:lang w:val="es-HN"/>
        </w:rPr>
        <w:t>Recopilación de datos</w:t>
      </w:r>
      <w:bookmarkEnd w:id="7"/>
    </w:p>
    <w:p w:rsidR="00CF4982" w:rsidRPr="00AB0978" w:rsidRDefault="00F64A54" w:rsidP="00CF4982">
      <w:pPr>
        <w:rPr>
          <w:lang w:val="es-HN"/>
        </w:rPr>
      </w:pPr>
      <w:r>
        <w:rPr>
          <w:lang w:val="es-HN"/>
        </w:rPr>
        <w:t>Se contactó</w:t>
      </w:r>
      <w:r w:rsidR="00CF4982" w:rsidRPr="00AB0978">
        <w:rPr>
          <w:lang w:val="es-HN"/>
        </w:rPr>
        <w:t xml:space="preserve"> a </w:t>
      </w:r>
      <w:r>
        <w:rPr>
          <w:lang w:val="es-HN"/>
        </w:rPr>
        <w:t xml:space="preserve">los </w:t>
      </w:r>
      <w:r w:rsidR="00CF4982" w:rsidRPr="00AB0978">
        <w:rPr>
          <w:lang w:val="es-HN"/>
        </w:rPr>
        <w:t xml:space="preserve">puntos focales </w:t>
      </w:r>
      <w:r w:rsidR="00CF4982">
        <w:rPr>
          <w:lang w:val="es-HN"/>
        </w:rPr>
        <w:t>de la</w:t>
      </w:r>
      <w:r>
        <w:rPr>
          <w:lang w:val="es-HN"/>
        </w:rPr>
        <w:t>s</w:t>
      </w:r>
      <w:r w:rsidR="00CF4982">
        <w:rPr>
          <w:lang w:val="es-HN"/>
        </w:rPr>
        <w:t xml:space="preserve"> instituciones gubernamentales, organizaciones sociales</w:t>
      </w:r>
      <w:r w:rsidR="002066FF">
        <w:rPr>
          <w:lang w:val="es-HN"/>
        </w:rPr>
        <w:t xml:space="preserve"> y actores</w:t>
      </w:r>
      <w:r w:rsidR="00CF4982">
        <w:rPr>
          <w:lang w:val="es-HN"/>
        </w:rPr>
        <w:t xml:space="preserve"> de cooperación</w:t>
      </w:r>
      <w:r w:rsidR="00CF4982" w:rsidRPr="00AB0978">
        <w:rPr>
          <w:lang w:val="es-HN"/>
        </w:rPr>
        <w:t xml:space="preserve">, con el objetivo de solicitarles la información del gasto </w:t>
      </w:r>
      <w:r w:rsidR="00CF4982">
        <w:rPr>
          <w:lang w:val="es-HN"/>
        </w:rPr>
        <w:t xml:space="preserve">de los años </w:t>
      </w:r>
      <w:r w:rsidR="001A282F">
        <w:rPr>
          <w:lang w:val="es-HN"/>
        </w:rPr>
        <w:t xml:space="preserve">2016 </w:t>
      </w:r>
      <w:r w:rsidR="00384711">
        <w:rPr>
          <w:lang w:val="es-HN"/>
        </w:rPr>
        <w:t>y 2017</w:t>
      </w:r>
      <w:r w:rsidR="00530812">
        <w:rPr>
          <w:lang w:val="es-HN"/>
        </w:rPr>
        <w:t xml:space="preserve"> </w:t>
      </w:r>
      <w:r w:rsidR="00CF4982">
        <w:rPr>
          <w:lang w:val="es-HN"/>
        </w:rPr>
        <w:t>enviándoles el formulario,</w:t>
      </w:r>
      <w:r w:rsidR="00CF4982" w:rsidRPr="00AB0978">
        <w:rPr>
          <w:lang w:val="es-HN"/>
        </w:rPr>
        <w:t xml:space="preserve"> con nota adjunta firmada</w:t>
      </w:r>
      <w:r w:rsidR="00CF4982">
        <w:rPr>
          <w:lang w:val="es-HN"/>
        </w:rPr>
        <w:t xml:space="preserve"> por las autoridades del Ministerio de Salud </w:t>
      </w:r>
      <w:r w:rsidR="00325FB4">
        <w:rPr>
          <w:lang w:val="es-HN"/>
        </w:rPr>
        <w:t xml:space="preserve">y posteriormente se les hizo </w:t>
      </w:r>
      <w:r w:rsidR="00CF4982">
        <w:rPr>
          <w:lang w:val="es-HN"/>
        </w:rPr>
        <w:t>visita</w:t>
      </w:r>
      <w:r w:rsidR="00325FB4">
        <w:rPr>
          <w:lang w:val="es-HN"/>
        </w:rPr>
        <w:t>s</w:t>
      </w:r>
      <w:r w:rsidR="00CF4982">
        <w:rPr>
          <w:lang w:val="es-HN"/>
        </w:rPr>
        <w:t xml:space="preserve"> directa</w:t>
      </w:r>
      <w:r w:rsidR="00325FB4">
        <w:rPr>
          <w:lang w:val="es-HN"/>
        </w:rPr>
        <w:t>s</w:t>
      </w:r>
      <w:r w:rsidR="00CF4982">
        <w:rPr>
          <w:lang w:val="es-HN"/>
        </w:rPr>
        <w:t xml:space="preserve"> para garantizar el correcto llenado del mismo.</w:t>
      </w:r>
    </w:p>
    <w:p w:rsidR="00384711" w:rsidRDefault="00CF4982" w:rsidP="00CF4982">
      <w:pPr>
        <w:rPr>
          <w:lang w:val="es-HN"/>
        </w:rPr>
      </w:pPr>
      <w:r w:rsidRPr="00AB0978">
        <w:rPr>
          <w:lang w:val="es-HN"/>
        </w:rPr>
        <w:t>Para las estimaciones de gastos en aquellos rubros en los que no se</w:t>
      </w:r>
      <w:r w:rsidR="00325FB4">
        <w:rPr>
          <w:lang w:val="es-HN"/>
        </w:rPr>
        <w:t xml:space="preserve"> contaron</w:t>
      </w:r>
      <w:r w:rsidR="00A76608">
        <w:rPr>
          <w:lang w:val="es-HN"/>
        </w:rPr>
        <w:t xml:space="preserve"> </w:t>
      </w:r>
      <w:r w:rsidRPr="00AB0978">
        <w:rPr>
          <w:lang w:val="es-HN"/>
        </w:rPr>
        <w:t>con datos definidos se realizaron estudios y aproximaciones con profesionales de salud de estas áreas</w:t>
      </w:r>
      <w:r>
        <w:rPr>
          <w:lang w:val="es-HN"/>
        </w:rPr>
        <w:t xml:space="preserve"> (Médicos tratantes, responsables de programa, y otros).</w:t>
      </w:r>
    </w:p>
    <w:p w:rsidR="008E4968" w:rsidRPr="00AB0978" w:rsidRDefault="008E4968" w:rsidP="008E4968">
      <w:pPr>
        <w:rPr>
          <w:lang w:val="es-HN"/>
        </w:rPr>
      </w:pPr>
      <w:r>
        <w:rPr>
          <w:lang w:val="es-HN"/>
        </w:rPr>
        <w:t>b.2.3. P</w:t>
      </w:r>
      <w:r w:rsidRPr="00AB0978">
        <w:rPr>
          <w:lang w:val="es-HN"/>
        </w:rPr>
        <w:t>rocesamiento de datos</w:t>
      </w:r>
    </w:p>
    <w:p w:rsidR="008E4968" w:rsidRDefault="008E4968" w:rsidP="008E4968">
      <w:pPr>
        <w:rPr>
          <w:lang w:val="es-HN"/>
        </w:rPr>
      </w:pPr>
      <w:r w:rsidRPr="00AB0978">
        <w:rPr>
          <w:lang w:val="es-HN"/>
        </w:rPr>
        <w:t xml:space="preserve">Los datos recopilados </w:t>
      </w:r>
      <w:r>
        <w:rPr>
          <w:lang w:val="es-HN"/>
        </w:rPr>
        <w:t xml:space="preserve">se analizaron y </w:t>
      </w:r>
      <w:r w:rsidR="0036265F">
        <w:rPr>
          <w:lang w:val="es-HN"/>
        </w:rPr>
        <w:t>procesaron para</w:t>
      </w:r>
      <w:r w:rsidRPr="00AB0978">
        <w:rPr>
          <w:lang w:val="es-HN"/>
        </w:rPr>
        <w:t xml:space="preserve"> el posterior ingreso de las transacciones a las matrices de </w:t>
      </w:r>
      <w:r w:rsidR="0036265F">
        <w:rPr>
          <w:lang w:val="es-HN"/>
        </w:rPr>
        <w:t>la Medición</w:t>
      </w:r>
      <w:r>
        <w:rPr>
          <w:lang w:val="es-HN"/>
        </w:rPr>
        <w:t xml:space="preserve"> del Gasto </w:t>
      </w:r>
      <w:r w:rsidRPr="00AB0978">
        <w:rPr>
          <w:lang w:val="es-HN"/>
        </w:rPr>
        <w:t xml:space="preserve">de modo que un cambio, aunque sea insignificante en la matriz </w:t>
      </w:r>
      <w:r w:rsidR="001A282F">
        <w:rPr>
          <w:lang w:val="es-HN"/>
        </w:rPr>
        <w:lastRenderedPageBreak/>
        <w:t xml:space="preserve">de </w:t>
      </w:r>
      <w:r w:rsidRPr="00AB0978">
        <w:rPr>
          <w:lang w:val="es-HN"/>
        </w:rPr>
        <w:t>gastos se reflejase de una vez en la matriz de captura.</w:t>
      </w:r>
      <w:r>
        <w:rPr>
          <w:lang w:val="es-HN"/>
        </w:rPr>
        <w:t xml:space="preserve"> El formato de recolección de datos</w:t>
      </w:r>
      <w:r w:rsidRPr="00AB0978">
        <w:rPr>
          <w:lang w:val="es-HN"/>
        </w:rPr>
        <w:t xml:space="preserve"> y </w:t>
      </w:r>
      <w:r>
        <w:rPr>
          <w:lang w:val="es-HN"/>
        </w:rPr>
        <w:t xml:space="preserve">la herramienta para el análisis de gasto tiene una función que </w:t>
      </w:r>
      <w:r w:rsidR="0036265F">
        <w:rPr>
          <w:lang w:val="es-HN"/>
        </w:rPr>
        <w:t xml:space="preserve">permite </w:t>
      </w:r>
      <w:r w:rsidR="0036265F" w:rsidRPr="00AB0978">
        <w:rPr>
          <w:lang w:val="es-HN"/>
        </w:rPr>
        <w:t>identificar</w:t>
      </w:r>
      <w:r w:rsidRPr="00AB0978">
        <w:rPr>
          <w:lang w:val="es-HN"/>
        </w:rPr>
        <w:t xml:space="preserve"> fallos en la coherencia de los datos ingresados a través de un mecanismo de semáforo, también se desarrollaron otros archivos alternos para el registro de las transacciones y la verificación de los datos.</w:t>
      </w:r>
    </w:p>
    <w:p w:rsidR="00003B2A" w:rsidRDefault="00003B2A" w:rsidP="00CF4982">
      <w:pPr>
        <w:rPr>
          <w:lang w:val="es-HN"/>
        </w:rPr>
      </w:pPr>
      <w:r>
        <w:rPr>
          <w:lang w:val="es-HN"/>
        </w:rPr>
        <w:t>Para el caso del Ministerio de Salud, dado que el registro del gasto no pe</w:t>
      </w:r>
      <w:r w:rsidR="00DC315A">
        <w:rPr>
          <w:lang w:val="es-HN"/>
        </w:rPr>
        <w:t>rmite el detalle por enfermedad, se realizaron estimaciones con los profesionales para las prestaciones, en la que se incluyó los gastos de personal de salud tanto en la atención directa, como indirecta, los gastos de servicios básicos, gastos administrativos y gastos de coordinación.</w:t>
      </w:r>
    </w:p>
    <w:p w:rsidR="00CF4982" w:rsidRPr="00AB0978" w:rsidRDefault="00CF4982" w:rsidP="00CF4982">
      <w:pPr>
        <w:pStyle w:val="Lista2"/>
        <w:numPr>
          <w:ilvl w:val="0"/>
          <w:numId w:val="19"/>
        </w:numPr>
        <w:rPr>
          <w:lang w:val="es-HN"/>
        </w:rPr>
      </w:pPr>
      <w:bookmarkStart w:id="8" w:name="_Toc372840254"/>
      <w:r w:rsidRPr="00AB0978">
        <w:rPr>
          <w:lang w:val="es-HN"/>
        </w:rPr>
        <w:t>Análisis y depuración de datos</w:t>
      </w:r>
      <w:bookmarkEnd w:id="8"/>
    </w:p>
    <w:p w:rsidR="00CF4982" w:rsidRPr="00AB0978" w:rsidRDefault="00CF4982" w:rsidP="00CF4982">
      <w:pPr>
        <w:rPr>
          <w:lang w:val="es-HN"/>
        </w:rPr>
      </w:pPr>
      <w:r w:rsidRPr="00AB0978">
        <w:rPr>
          <w:lang w:val="es-HN"/>
        </w:rPr>
        <w:t>Como control de cal</w:t>
      </w:r>
      <w:r w:rsidR="00F64A54">
        <w:rPr>
          <w:lang w:val="es-HN"/>
        </w:rPr>
        <w:t>idad de los datos, se elaboraro</w:t>
      </w:r>
      <w:r>
        <w:rPr>
          <w:lang w:val="es-HN"/>
        </w:rPr>
        <w:t>n</w:t>
      </w:r>
      <w:r w:rsidRPr="00AB0978">
        <w:rPr>
          <w:lang w:val="es-HN"/>
        </w:rPr>
        <w:t xml:space="preserve"> transacciones en hojas de Excel, mismas que </w:t>
      </w:r>
      <w:r w:rsidR="00F64A54">
        <w:rPr>
          <w:lang w:val="es-HN"/>
        </w:rPr>
        <w:t>fueron</w:t>
      </w:r>
      <w:r w:rsidRPr="00AB0978">
        <w:rPr>
          <w:lang w:val="es-HN"/>
        </w:rPr>
        <w:t xml:space="preserve"> revisadas en</w:t>
      </w:r>
      <w:r>
        <w:rPr>
          <w:lang w:val="es-HN"/>
        </w:rPr>
        <w:t xml:space="preserve"> conjunto con el Programa Nacional de </w:t>
      </w:r>
      <w:r w:rsidR="0036265F">
        <w:rPr>
          <w:lang w:val="es-HN"/>
        </w:rPr>
        <w:t xml:space="preserve">Tuberculosis, </w:t>
      </w:r>
      <w:r w:rsidR="0036265F" w:rsidRPr="00AB0978">
        <w:rPr>
          <w:lang w:val="es-HN"/>
        </w:rPr>
        <w:t>las</w:t>
      </w:r>
      <w:r w:rsidRPr="00AB0978">
        <w:rPr>
          <w:lang w:val="es-HN"/>
        </w:rPr>
        <w:t xml:space="preserve"> respectivas unidades involucradas,</w:t>
      </w:r>
      <w:r>
        <w:rPr>
          <w:lang w:val="es-HN"/>
        </w:rPr>
        <w:t xml:space="preserve"> miembros de la respuesta nacional para garantizar la</w:t>
      </w:r>
      <w:r w:rsidRPr="00AB0978">
        <w:rPr>
          <w:lang w:val="es-HN"/>
        </w:rPr>
        <w:t xml:space="preserve"> calidad de la información.</w:t>
      </w:r>
    </w:p>
    <w:p w:rsidR="00CF4982" w:rsidRDefault="00CF4982" w:rsidP="00CF4982">
      <w:pPr>
        <w:pStyle w:val="Lista2"/>
        <w:numPr>
          <w:ilvl w:val="0"/>
          <w:numId w:val="19"/>
        </w:numPr>
        <w:rPr>
          <w:lang w:val="es-HN"/>
        </w:rPr>
      </w:pPr>
      <w:bookmarkStart w:id="9" w:name="_Toc372840255"/>
      <w:r>
        <w:rPr>
          <w:rFonts w:eastAsia="Times New Roman" w:cs="Calibri"/>
          <w:color w:val="000000"/>
          <w:lang w:val="es-NI" w:eastAsia="es-NI"/>
        </w:rPr>
        <w:t xml:space="preserve">Sesiones de trabajo de discusión y </w:t>
      </w:r>
      <w:r w:rsidRPr="006150F3">
        <w:rPr>
          <w:rFonts w:eastAsia="Times New Roman" w:cs="Calibri"/>
          <w:color w:val="000000"/>
          <w:lang w:val="es-NI" w:eastAsia="es-NI"/>
        </w:rPr>
        <w:t>revisión de los resultados de la medición del Gasto en TB</w:t>
      </w:r>
      <w:r>
        <w:rPr>
          <w:lang w:val="es-HN"/>
        </w:rPr>
        <w:t>para la validación y devolución de resultados</w:t>
      </w:r>
      <w:r w:rsidR="001005B0">
        <w:rPr>
          <w:lang w:val="es-HN"/>
        </w:rPr>
        <w:t>.</w:t>
      </w:r>
    </w:p>
    <w:p w:rsidR="00CF4982" w:rsidRPr="00AB0978" w:rsidRDefault="00CF4982" w:rsidP="00CF4982">
      <w:pPr>
        <w:pStyle w:val="Lista2"/>
        <w:numPr>
          <w:ilvl w:val="0"/>
          <w:numId w:val="19"/>
        </w:numPr>
        <w:rPr>
          <w:lang w:val="es-HN"/>
        </w:rPr>
      </w:pPr>
      <w:r w:rsidRPr="00AB0978">
        <w:rPr>
          <w:lang w:val="es-HN"/>
        </w:rPr>
        <w:t xml:space="preserve">Elaboración de informe </w:t>
      </w:r>
      <w:bookmarkEnd w:id="9"/>
      <w:r>
        <w:rPr>
          <w:lang w:val="es-HN"/>
        </w:rPr>
        <w:t>borrador y final</w:t>
      </w:r>
      <w:r w:rsidR="001005B0">
        <w:rPr>
          <w:lang w:val="es-HN"/>
        </w:rPr>
        <w:t>.</w:t>
      </w:r>
    </w:p>
    <w:p w:rsidR="00CF4982" w:rsidRDefault="00CF4982" w:rsidP="00CF4982">
      <w:pPr>
        <w:rPr>
          <w:lang w:val="es-HN"/>
        </w:rPr>
      </w:pPr>
      <w:r w:rsidRPr="00AB0978">
        <w:rPr>
          <w:lang w:val="es-HN"/>
        </w:rPr>
        <w:t xml:space="preserve">Una vez revisadas las transacciones, </w:t>
      </w:r>
      <w:r w:rsidR="00F64A54">
        <w:rPr>
          <w:lang w:val="es-HN"/>
        </w:rPr>
        <w:t>se ingresaro</w:t>
      </w:r>
      <w:r>
        <w:rPr>
          <w:lang w:val="es-HN"/>
        </w:rPr>
        <w:t>n a la base de dato</w:t>
      </w:r>
      <w:r w:rsidR="00F64A54">
        <w:rPr>
          <w:lang w:val="es-HN"/>
        </w:rPr>
        <w:t xml:space="preserve">s de la herramienta que </w:t>
      </w:r>
      <w:r w:rsidR="00A76608">
        <w:rPr>
          <w:lang w:val="es-HN"/>
        </w:rPr>
        <w:t>generaron</w:t>
      </w:r>
      <w:r w:rsidR="00A76608" w:rsidRPr="00AB0978">
        <w:rPr>
          <w:lang w:val="es-HN"/>
        </w:rPr>
        <w:t xml:space="preserve"> las</w:t>
      </w:r>
      <w:r w:rsidRPr="00AB0978">
        <w:rPr>
          <w:lang w:val="es-HN"/>
        </w:rPr>
        <w:t xml:space="preserve"> salidas de información para la elaboración de tablas y gráficos que </w:t>
      </w:r>
      <w:r>
        <w:rPr>
          <w:lang w:val="es-HN"/>
        </w:rPr>
        <w:t xml:space="preserve">se </w:t>
      </w:r>
      <w:r w:rsidR="000F6FC1">
        <w:rPr>
          <w:lang w:val="es-HN"/>
        </w:rPr>
        <w:t>incorporaron</w:t>
      </w:r>
      <w:r>
        <w:rPr>
          <w:lang w:val="es-HN"/>
        </w:rPr>
        <w:t xml:space="preserve"> al informe preliminar</w:t>
      </w:r>
      <w:r w:rsidRPr="00AB0978">
        <w:rPr>
          <w:lang w:val="es-HN"/>
        </w:rPr>
        <w:t xml:space="preserve">, el cual se </w:t>
      </w:r>
      <w:r w:rsidR="000F6FC1">
        <w:rPr>
          <w:lang w:val="es-HN"/>
        </w:rPr>
        <w:t xml:space="preserve">compartió </w:t>
      </w:r>
      <w:r w:rsidRPr="00AB0978">
        <w:rPr>
          <w:lang w:val="es-HN"/>
        </w:rPr>
        <w:t xml:space="preserve">con miembros del equipo </w:t>
      </w:r>
      <w:r>
        <w:rPr>
          <w:lang w:val="es-HN"/>
        </w:rPr>
        <w:t xml:space="preserve">del estudio, miembros de la respuesta nacional </w:t>
      </w:r>
      <w:r w:rsidRPr="00AB0978">
        <w:rPr>
          <w:lang w:val="es-HN"/>
        </w:rPr>
        <w:t>entre otros, para su revisión, aportes y comentarios. Una vez recibidas las observaciones técnicas, a través de una sesión final de validaci</w:t>
      </w:r>
      <w:r w:rsidR="007F2DE5">
        <w:rPr>
          <w:lang w:val="es-HN"/>
        </w:rPr>
        <w:t xml:space="preserve">ón se </w:t>
      </w:r>
      <w:r w:rsidR="0036265F">
        <w:rPr>
          <w:lang w:val="es-HN"/>
        </w:rPr>
        <w:t xml:space="preserve">procederán </w:t>
      </w:r>
      <w:r w:rsidR="0036265F" w:rsidRPr="00AB0978">
        <w:rPr>
          <w:lang w:val="es-HN"/>
        </w:rPr>
        <w:t>a</w:t>
      </w:r>
      <w:r w:rsidRPr="00AB0978">
        <w:rPr>
          <w:lang w:val="es-HN"/>
        </w:rPr>
        <w:t xml:space="preserve"> incorporarlas en el informe final.  </w:t>
      </w:r>
    </w:p>
    <w:p w:rsidR="00AB29D9" w:rsidRDefault="00AB29D9">
      <w:pPr>
        <w:spacing w:before="0" w:beforeAutospacing="0" w:after="160" w:afterAutospacing="0" w:line="259" w:lineRule="auto"/>
        <w:jc w:val="left"/>
        <w:rPr>
          <w:rFonts w:asciiTheme="majorHAnsi" w:eastAsiaTheme="majorEastAsia" w:hAnsiTheme="majorHAnsi" w:cstheme="majorBidi"/>
          <w:color w:val="2E74B5" w:themeColor="accent1" w:themeShade="BF"/>
          <w:sz w:val="26"/>
          <w:szCs w:val="26"/>
          <w:lang w:val="es-HN"/>
        </w:rPr>
      </w:pPr>
      <w:r>
        <w:rPr>
          <w:lang w:val="es-HN"/>
        </w:rPr>
        <w:br w:type="page"/>
      </w:r>
    </w:p>
    <w:p w:rsidR="00EE31A5" w:rsidRDefault="00EE31A5" w:rsidP="00EE31A5">
      <w:pPr>
        <w:pStyle w:val="Ttulo1"/>
      </w:pPr>
      <w:bookmarkStart w:id="10" w:name="_Toc529102105"/>
      <w:r>
        <w:lastRenderedPageBreak/>
        <w:t>Situación EPIDEMIOLÓGICA</w:t>
      </w:r>
      <w:bookmarkEnd w:id="10"/>
    </w:p>
    <w:p w:rsidR="00EE31A5" w:rsidRDefault="008A2824" w:rsidP="00B92C7E">
      <w:pPr>
        <w:widowControl w:val="0"/>
        <w:autoSpaceDE w:val="0"/>
        <w:autoSpaceDN w:val="0"/>
        <w:adjustRightInd w:val="0"/>
        <w:spacing w:before="11"/>
        <w:ind w:right="134"/>
        <w:rPr>
          <w:sz w:val="16"/>
          <w:szCs w:val="16"/>
        </w:rPr>
      </w:pPr>
      <w:r>
        <w:rPr>
          <w:noProof/>
          <w:lang w:val="es-NI" w:eastAsia="es-NI"/>
        </w:rPr>
        <w:drawing>
          <wp:anchor distT="0" distB="0" distL="114300" distR="114300" simplePos="0" relativeHeight="251662336" behindDoc="1" locked="0" layoutInCell="1" allowOverlap="1">
            <wp:simplePos x="0" y="0"/>
            <wp:positionH relativeFrom="margin">
              <wp:posOffset>-897255</wp:posOffset>
            </wp:positionH>
            <wp:positionV relativeFrom="paragraph">
              <wp:posOffset>1905000</wp:posOffset>
            </wp:positionV>
            <wp:extent cx="7357110" cy="4046220"/>
            <wp:effectExtent l="19050" t="0" r="0" b="0"/>
            <wp:wrapTight wrapText="bothSides">
              <wp:wrapPolygon edited="0">
                <wp:start x="-56" y="0"/>
                <wp:lineTo x="-56" y="21458"/>
                <wp:lineTo x="21589" y="21458"/>
                <wp:lineTo x="21589" y="0"/>
                <wp:lineTo x="-56" y="0"/>
              </wp:wrapPolygon>
            </wp:wrapTight>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57110" cy="4046220"/>
                    </a:xfrm>
                    <a:prstGeom prst="rect">
                      <a:avLst/>
                    </a:prstGeom>
                    <a:noFill/>
                  </pic:spPr>
                </pic:pic>
              </a:graphicData>
            </a:graphic>
          </wp:anchor>
        </w:drawing>
      </w:r>
      <w:r w:rsidR="008E137D" w:rsidRPr="00861327">
        <w:t xml:space="preserve">De acuerdo al </w:t>
      </w:r>
      <w:r w:rsidR="002066FF" w:rsidRPr="00861327">
        <w:t>documento</w:t>
      </w:r>
      <w:r w:rsidR="008E137D" w:rsidRPr="00861327">
        <w:t xml:space="preserve"> Situación Epidemiologia de  la Tuberculosis del Ministerio de salud</w:t>
      </w:r>
      <w:r w:rsidR="008B35C6">
        <w:t xml:space="preserve"> del año 2016</w:t>
      </w:r>
      <w:r w:rsidR="002066FF" w:rsidRPr="00861327">
        <w:t xml:space="preserve">, </w:t>
      </w:r>
      <w:r w:rsidR="008E137D" w:rsidRPr="00861327">
        <w:t xml:space="preserve"> informa que  </w:t>
      </w:r>
      <w:r w:rsidR="005A2F64">
        <w:t xml:space="preserve">en este año, </w:t>
      </w:r>
      <w:r w:rsidR="008B35C6" w:rsidRPr="00A46074">
        <w:t xml:space="preserve"> el país registra un total de 2,406 casos notificados de Tuberculosis, dato inferior al 2015 (2,546),  </w:t>
      </w:r>
      <w:r w:rsidR="005A2F64">
        <w:t xml:space="preserve">de estos </w:t>
      </w:r>
      <w:r w:rsidR="008B35C6" w:rsidRPr="00A46074">
        <w:t xml:space="preserve"> 2,339 (97.2 %) fueron casos de </w:t>
      </w:r>
      <w:r w:rsidR="008B35C6">
        <w:t xml:space="preserve"> Tuberculosis en todas sus Formas  (</w:t>
      </w:r>
      <w:r w:rsidR="008B35C6" w:rsidRPr="00A46074">
        <w:t>TBTF</w:t>
      </w:r>
      <w:r w:rsidR="008B35C6">
        <w:t>)</w:t>
      </w:r>
      <w:r w:rsidR="008B35C6" w:rsidRPr="00A46074">
        <w:t>, con una incidencia de 37</w:t>
      </w:r>
      <w:r w:rsidR="008B35C6" w:rsidRPr="00A46074">
        <w:rPr>
          <w:rStyle w:val="Refdenotaalpie"/>
          <w:rFonts w:cs="Arial"/>
        </w:rPr>
        <w:footnoteReference w:id="1"/>
      </w:r>
      <w:r w:rsidR="008B35C6" w:rsidRPr="00A46074">
        <w:t xml:space="preserve">. Según </w:t>
      </w:r>
      <w:r w:rsidR="00BF3F94">
        <w:t>la Organización Mundial de la Salud (</w:t>
      </w:r>
      <w:r w:rsidR="008B35C6" w:rsidRPr="00A46074">
        <w:t>OMS</w:t>
      </w:r>
      <w:r w:rsidR="00BF3F94">
        <w:t>)</w:t>
      </w:r>
      <w:r w:rsidR="008B35C6" w:rsidRPr="00A46074">
        <w:t xml:space="preserve"> el número esperado de casos para este mismo período sería de 2,900</w:t>
      </w:r>
      <w:r w:rsidR="008B35C6" w:rsidRPr="00A46074">
        <w:rPr>
          <w:rStyle w:val="Refdenotaalpie"/>
        </w:rPr>
        <w:footnoteReference w:id="2"/>
      </w:r>
      <w:r w:rsidR="008B35C6" w:rsidRPr="00A46074">
        <w:t xml:space="preserve"> con una tasa estimada de 47</w:t>
      </w:r>
      <w:r w:rsidR="008B35C6" w:rsidRPr="00A46074">
        <w:rPr>
          <w:rStyle w:val="Refdenotaalpie"/>
        </w:rPr>
        <w:footnoteReference w:id="3"/>
      </w:r>
      <w:r w:rsidR="008B35C6" w:rsidRPr="00A46074">
        <w:t>. Con esta nueva estimación la tasa de detección registrada es del 81 % mayor al dato reportado 2015 de 69.2</w:t>
      </w:r>
      <w:r w:rsidR="008B35C6" w:rsidRPr="00A46074">
        <w:rPr>
          <w:rStyle w:val="Refdenotaalpie"/>
        </w:rPr>
        <w:footnoteReference w:id="4"/>
      </w:r>
      <w:r w:rsidR="008B35C6" w:rsidRPr="00A46074">
        <w:t>, teniendo  una brecha de detección del 19% (561casos)</w:t>
      </w:r>
      <w:r w:rsidR="00E8453A" w:rsidRPr="00A46074">
        <w:t>.</w:t>
      </w:r>
      <w:r w:rsidR="00EE31A5" w:rsidRPr="002066FE">
        <w:rPr>
          <w:sz w:val="16"/>
          <w:szCs w:val="16"/>
        </w:rPr>
        <w:t xml:space="preserve"> </w:t>
      </w:r>
      <w:r w:rsidR="00EE31A5" w:rsidRPr="00EE31A5">
        <w:t>Gráfico</w:t>
      </w:r>
      <w:r w:rsidR="00EE31A5">
        <w:t xml:space="preserve"> </w:t>
      </w:r>
      <w:r w:rsidR="00530812">
        <w:t>2</w:t>
      </w:r>
      <w:r w:rsidR="005A2F64">
        <w:t>,</w:t>
      </w:r>
    </w:p>
    <w:p w:rsidR="008B35C6" w:rsidRDefault="008B35C6" w:rsidP="00A9203C">
      <w:pPr>
        <w:jc w:val="center"/>
      </w:pPr>
    </w:p>
    <w:p w:rsidR="00C63D72" w:rsidRDefault="00123948" w:rsidP="00387467">
      <w:r>
        <w:rPr>
          <w:rFonts w:cs="Calibri"/>
          <w:color w:val="000000"/>
        </w:rPr>
        <w:lastRenderedPageBreak/>
        <w:t xml:space="preserve">Los Sistema Local de Atención Integral en Salud </w:t>
      </w:r>
      <w:r w:rsidR="00387467" w:rsidRPr="00387467">
        <w:t>(</w:t>
      </w:r>
      <w:r w:rsidR="00C63D72" w:rsidRPr="00387467">
        <w:t>SILAIS</w:t>
      </w:r>
      <w:r w:rsidR="00387467" w:rsidRPr="00387467">
        <w:t>)</w:t>
      </w:r>
      <w:r>
        <w:t xml:space="preserve"> </w:t>
      </w:r>
      <w:r w:rsidR="00C63D72" w:rsidRPr="00387467">
        <w:t xml:space="preserve">que presentan tasa de notificación en TBTF mayor a la nacional son: Región del Atlántico </w:t>
      </w:r>
      <w:r w:rsidR="00E02BE1" w:rsidRPr="00387467">
        <w:t>de la Región Autónoma de Costa Caribe Norte</w:t>
      </w:r>
      <w:r>
        <w:t xml:space="preserve"> </w:t>
      </w:r>
      <w:r w:rsidR="00E02BE1" w:rsidRPr="00387467">
        <w:t>(RACC</w:t>
      </w:r>
      <w:r w:rsidR="00C63D72" w:rsidRPr="00387467">
        <w:t>N</w:t>
      </w:r>
      <w:r w:rsidR="00E02BE1" w:rsidRPr="00387467">
        <w:t>)</w:t>
      </w:r>
      <w:r w:rsidR="00C63D72" w:rsidRPr="00387467">
        <w:t xml:space="preserve"> 107.6</w:t>
      </w:r>
      <w:r w:rsidR="00C63D72" w:rsidRPr="00387467">
        <w:footnoteReference w:id="5"/>
      </w:r>
      <w:r w:rsidR="00C63D72" w:rsidRPr="00387467">
        <w:t>, Managua 51.4, Las Minas 50</w:t>
      </w:r>
      <w:r w:rsidR="00530812">
        <w:t xml:space="preserve">, </w:t>
      </w:r>
      <w:r w:rsidR="00C63D72" w:rsidRPr="00387467">
        <w:t xml:space="preserve"> Masaya 43.1, Matagalpa 40.6, </w:t>
      </w:r>
      <w:r w:rsidR="00E02BE1" w:rsidRPr="00387467">
        <w:t>la Región Autónoma  de la Costa Caribe Sur (</w:t>
      </w:r>
      <w:r w:rsidR="00C63D72" w:rsidRPr="00387467">
        <w:t>RACCS</w:t>
      </w:r>
      <w:r w:rsidR="00E02BE1" w:rsidRPr="00387467">
        <w:t>)</w:t>
      </w:r>
      <w:r w:rsidR="00C63D72" w:rsidRPr="00387467">
        <w:t xml:space="preserve"> 40.1, Chinandega 37.5 y Granada 36. De manera general hubo leve reducción de la tasa de TBTF en estos SILAIS, pero la carga de la enfermedad se mantiene alta. Los </w:t>
      </w:r>
      <w:r w:rsidR="00387467" w:rsidRPr="00387467">
        <w:t>SILAIS</w:t>
      </w:r>
      <w:r w:rsidR="00C63D72" w:rsidRPr="00387467">
        <w:t xml:space="preserve"> con incidencia de </w:t>
      </w:r>
      <w:r w:rsidR="00387467">
        <w:t>Tuberculosis</w:t>
      </w:r>
      <w:r w:rsidR="003A4D22">
        <w:t xml:space="preserve"> Bacteriológicamente Confirmada</w:t>
      </w:r>
      <w:r w:rsidR="00BE5A03">
        <w:t xml:space="preserve"> (</w:t>
      </w:r>
      <w:r w:rsidR="00C63D72" w:rsidRPr="00387467">
        <w:t>TBBC</w:t>
      </w:r>
      <w:r w:rsidR="00E8453A">
        <w:t>)</w:t>
      </w:r>
      <w:r w:rsidR="00E8453A" w:rsidRPr="00387467">
        <w:t>(</w:t>
      </w:r>
      <w:r w:rsidR="00C63D72" w:rsidRPr="00387467">
        <w:t>+)</w:t>
      </w:r>
      <w:r w:rsidR="00BE5A03" w:rsidRPr="00387467">
        <w:rPr>
          <w:sz w:val="20"/>
          <w:vertAlign w:val="superscript"/>
        </w:rPr>
        <w:footnoteReference w:id="6"/>
      </w:r>
      <w:r w:rsidR="00C63D72" w:rsidRPr="00387467">
        <w:t xml:space="preserve"> por encima de la nacional (24.8) se corresponden con los de altas tasas de TBTF.  Los SILAIS de mayor notificación de TB todas las formas y de TBBC (+) coinciden con los de alta prevalencia para VIH en el país</w:t>
      </w:r>
      <w:r w:rsidR="00C63D72" w:rsidRPr="00A46074">
        <w:t>.</w:t>
      </w:r>
    </w:p>
    <w:p w:rsidR="00BE5A03" w:rsidRPr="00A46074" w:rsidRDefault="00BE5A03" w:rsidP="00BE5A03">
      <w:r w:rsidRPr="00BE5A03">
        <w:t xml:space="preserve">Por grupo </w:t>
      </w:r>
      <w:r>
        <w:t xml:space="preserve">de </w:t>
      </w:r>
      <w:r w:rsidR="0036265F">
        <w:t xml:space="preserve">edades, </w:t>
      </w:r>
      <w:r w:rsidR="0036265F" w:rsidRPr="00BE5A03">
        <w:t>el</w:t>
      </w:r>
      <w:r w:rsidRPr="00BE5A03">
        <w:t xml:space="preserve"> 63,9% (639) casos de TBBC se concentra en el grupo de15-44 años, en mayores de 65 años el 8,5% (124), en adolescentes y jóvenes el 19.6% (287) y en menores de 15 años el 2,8% (42).  </w:t>
      </w:r>
      <w:r w:rsidR="0036265F">
        <w:t xml:space="preserve">Por </w:t>
      </w:r>
      <w:r w:rsidR="0036265F" w:rsidRPr="00A46074">
        <w:t>sexo</w:t>
      </w:r>
      <w:r w:rsidRPr="00A46074">
        <w:t xml:space="preserve"> el 60.9 % (890) son hombres y 39.1 % (571) mujeres, la relación hombre-mujer es </w:t>
      </w:r>
      <w:r>
        <w:t xml:space="preserve">1.6 en </w:t>
      </w:r>
      <w:r w:rsidRPr="00A46074">
        <w:t>hombres el riesgo de enfermar de TB pulmonar BK+ es mayor que en mujeres a partir de los 15 años.</w:t>
      </w:r>
    </w:p>
    <w:p w:rsidR="00BE5A03" w:rsidRDefault="00BE5A03" w:rsidP="00BE5A03">
      <w:r w:rsidRPr="000439D3">
        <w:t>En 2016 se notifican 1</w:t>
      </w:r>
      <w:r>
        <w:t>01</w:t>
      </w:r>
      <w:r w:rsidRPr="000439D3">
        <w:rPr>
          <w:rStyle w:val="Refdenotaalpie"/>
        </w:rPr>
        <w:footnoteReference w:id="7"/>
      </w:r>
      <w:r w:rsidRPr="000439D3">
        <w:t xml:space="preserve"> defunciones por Tuberculosis menor al dato reportado en 2015 (1</w:t>
      </w:r>
      <w:r>
        <w:t>21</w:t>
      </w:r>
      <w:r w:rsidRPr="000439D3">
        <w:t>). La mortalidad evidencia una reducción pasando de 3.6</w:t>
      </w:r>
      <w:r w:rsidRPr="000439D3">
        <w:rPr>
          <w:rStyle w:val="Refdenotaalpie"/>
        </w:rPr>
        <w:footnoteReference w:id="8"/>
      </w:r>
      <w:r w:rsidRPr="000439D3">
        <w:t xml:space="preserve"> en </w:t>
      </w:r>
      <w:r>
        <w:t xml:space="preserve">el </w:t>
      </w:r>
      <w:r w:rsidRPr="000439D3">
        <w:t xml:space="preserve">2000 a </w:t>
      </w:r>
      <w:r w:rsidR="00B92C7E">
        <w:t>1.</w:t>
      </w:r>
      <w:r>
        <w:t>6 en</w:t>
      </w:r>
      <w:r w:rsidRPr="000439D3">
        <w:t xml:space="preserve"> 2016. Por sexo el 62.3% (</w:t>
      </w:r>
      <w:r>
        <w:t>63</w:t>
      </w:r>
      <w:r w:rsidRPr="000439D3">
        <w:t xml:space="preserve">) ocurre </w:t>
      </w:r>
      <w:r>
        <w:t xml:space="preserve">en </w:t>
      </w:r>
      <w:r w:rsidRPr="000439D3">
        <w:t>varones y 37.7% (</w:t>
      </w:r>
      <w:r>
        <w:t>38</w:t>
      </w:r>
      <w:r w:rsidRPr="000439D3">
        <w:t xml:space="preserve">) </w:t>
      </w:r>
      <w:r>
        <w:t xml:space="preserve">en </w:t>
      </w:r>
      <w:r w:rsidRPr="000439D3">
        <w:t>mujeres. La tasa de mortalidad en hombres 2.6</w:t>
      </w:r>
      <w:r w:rsidRPr="000439D3">
        <w:rPr>
          <w:rStyle w:val="Refdenotaalpie"/>
        </w:rPr>
        <w:footnoteReference w:id="9"/>
      </w:r>
      <w:r w:rsidRPr="000439D3">
        <w:t xml:space="preserve"> y en mujeres 1.5</w:t>
      </w:r>
      <w:r w:rsidRPr="000439D3">
        <w:rPr>
          <w:vertAlign w:val="superscript"/>
        </w:rPr>
        <w:footnoteReference w:id="10"/>
      </w:r>
      <w:r>
        <w:t>. La tasa de</w:t>
      </w:r>
      <w:r w:rsidRPr="00016648">
        <w:t xml:space="preserve"> mortalidad refleja una tendencia decreciente a partir del año 2003 con un incremento en los años 2010 y 2015</w:t>
      </w:r>
      <w:r>
        <w:t>.</w:t>
      </w:r>
      <w:r w:rsidR="00530812">
        <w:t xml:space="preserve"> </w:t>
      </w:r>
      <w:r>
        <w:t>En</w:t>
      </w:r>
      <w:r w:rsidRPr="00016648">
        <w:t xml:space="preserve">  mayor</w:t>
      </w:r>
      <w:r>
        <w:t xml:space="preserve">es de 50 años la </w:t>
      </w:r>
      <w:r w:rsidRPr="00016648">
        <w:t>tasa es de 8,51</w:t>
      </w:r>
      <w:r>
        <w:rPr>
          <w:rStyle w:val="Refdenotaalpie"/>
        </w:rPr>
        <w:footnoteReference w:id="11"/>
      </w:r>
      <w:r>
        <w:t>,</w:t>
      </w:r>
      <w:r w:rsidRPr="00016648">
        <w:t xml:space="preserve">  35-49a 2,37,</w:t>
      </w:r>
      <w:r>
        <w:t xml:space="preserve"> 1,03 </w:t>
      </w:r>
      <w:r w:rsidRPr="00016648">
        <w:t xml:space="preserve">de 15-34 años y el 0,10 </w:t>
      </w:r>
      <w:r>
        <w:t xml:space="preserve"> en menores de 15 años.  Los</w:t>
      </w:r>
      <w:r w:rsidRPr="00016648">
        <w:t xml:space="preserve"> SILAIS con tasa de mortali</w:t>
      </w:r>
      <w:r>
        <w:t>dad</w:t>
      </w:r>
      <w:r w:rsidR="007A64E3">
        <w:t xml:space="preserve"> mayor a la nacional (2.1) son:</w:t>
      </w:r>
      <w:r w:rsidRPr="00016648">
        <w:t xml:space="preserve"> Bilwi 4,3 (9), Gran</w:t>
      </w:r>
      <w:r>
        <w:t>a</w:t>
      </w:r>
      <w:r w:rsidRPr="00016648">
        <w:t>da 3,9(8), Rivas 3,4(6), Managua 2,7 (40), Estelí 2,7(</w:t>
      </w:r>
      <w:r>
        <w:t>6)</w:t>
      </w:r>
      <w:r w:rsidRPr="00016648">
        <w:t>, Chinandega 2,5 (11), Las Mina</w:t>
      </w:r>
      <w:r>
        <w:t xml:space="preserve">s 2,4 (6) y Matagalpa 2,2 (14). </w:t>
      </w:r>
    </w:p>
    <w:p w:rsidR="00BE5A03" w:rsidRDefault="00BE5A03" w:rsidP="00BE5A03">
      <w:r w:rsidRPr="00A46074">
        <w:t xml:space="preserve">En 2016 </w:t>
      </w:r>
      <w:r w:rsidR="00B92C7E">
        <w:t>en el país,  el</w:t>
      </w:r>
      <w:r>
        <w:t xml:space="preserve"> número de  </w:t>
      </w:r>
      <w:r w:rsidRPr="00A46074">
        <w:t xml:space="preserve">consultas médicas en mayores de 15 años fue </w:t>
      </w:r>
      <w:r>
        <w:t xml:space="preserve">de </w:t>
      </w:r>
      <w:r w:rsidRPr="00A46074">
        <w:t>7, 366,615 similar al 2015</w:t>
      </w:r>
      <w:r>
        <w:t xml:space="preserve"> (7</w:t>
      </w:r>
      <w:r w:rsidRPr="00A46074">
        <w:t>,371,534) con un promedio de 1.17</w:t>
      </w:r>
      <w:r w:rsidRPr="00A46074">
        <w:rPr>
          <w:rStyle w:val="Refdenotaalpie"/>
        </w:rPr>
        <w:footnoteReference w:id="12"/>
      </w:r>
      <w:r w:rsidRPr="00A46074">
        <w:t xml:space="preserve">consulta por habitante. </w:t>
      </w:r>
      <w:r w:rsidR="00B92C7E">
        <w:t xml:space="preserve">Se </w:t>
      </w:r>
      <w:r w:rsidR="0036265F">
        <w:t>identificaron 185,162</w:t>
      </w:r>
      <w:r w:rsidR="0036265F" w:rsidRPr="00A46074">
        <w:t xml:space="preserve"> </w:t>
      </w:r>
      <w:r w:rsidR="0036265F">
        <w:t>sintomáticos</w:t>
      </w:r>
      <w:r>
        <w:t xml:space="preserve"> </w:t>
      </w:r>
      <w:r w:rsidR="0036265F">
        <w:t>respiratorios representando</w:t>
      </w:r>
      <w:r w:rsidRPr="00A46074">
        <w:t xml:space="preserve"> una proporción del 2.51% dato superior al </w:t>
      </w:r>
      <w:r w:rsidRPr="00A46074">
        <w:lastRenderedPageBreak/>
        <w:t>registrado en 2015 2.43</w:t>
      </w:r>
      <w:r w:rsidR="0036265F">
        <w:t>%, valor</w:t>
      </w:r>
      <w:r w:rsidRPr="00A46074">
        <w:t xml:space="preserve"> por encima de la meta proyectada, el 2% de la consulta médica en mayores de 15 años. </w:t>
      </w:r>
      <w:r>
        <w:t>De ellos se examinaro</w:t>
      </w:r>
      <w:r w:rsidRPr="00A46074">
        <w:t xml:space="preserve">n 180,856 con una proporción de identificados vs estudiados del 98.3% este indicador se incrementó 4.5 </w:t>
      </w:r>
      <w:r>
        <w:t>puntos porcentuales (</w:t>
      </w:r>
      <w:r w:rsidRPr="00A46074">
        <w:t>p.p</w:t>
      </w:r>
      <w:r>
        <w:t>)</w:t>
      </w:r>
      <w:r w:rsidRPr="00A46074">
        <w:rPr>
          <w:rStyle w:val="Refdenotaalpie"/>
        </w:rPr>
        <w:footnoteReference w:id="13"/>
      </w:r>
      <w:r w:rsidRPr="00A46074">
        <w:t xml:space="preserve"> con respecto al 2015 (93.87%). </w:t>
      </w:r>
    </w:p>
    <w:p w:rsidR="00BE5A03" w:rsidRPr="00A46074" w:rsidRDefault="00BE5A03" w:rsidP="00FD01E0">
      <w:r w:rsidRPr="00A46074">
        <w:t xml:space="preserve">El índice de positividad es </w:t>
      </w:r>
      <w:r w:rsidRPr="00FD01E0">
        <w:t xml:space="preserve">menor </w:t>
      </w:r>
      <w:r w:rsidRPr="00A46074">
        <w:t>al 1% cifra inferior al registrado en 201</w:t>
      </w:r>
      <w:r>
        <w:t>5</w:t>
      </w:r>
      <w:r w:rsidRPr="00A46074">
        <w:t xml:space="preserve"> de 1.82%. A pesar del incremento importante en el número de examinados para 2016 no se evidencia un aumento del índice de positividad. Los otros proveedores, instituciones prestadoras de servicios de salud (IPSS), cuerpo médico militar y sistema penitenciario) aportan a la meta de SR+14 con un 9.4 % (18,606) en identificados y examinados el 8.7 % (17,388). </w:t>
      </w:r>
    </w:p>
    <w:p w:rsidR="00BE5A03" w:rsidRDefault="00BE5A03" w:rsidP="00BE5A03">
      <w:r w:rsidRPr="00A46074">
        <w:t xml:space="preserve">En 2016, </w:t>
      </w:r>
      <w:r>
        <w:t>se registra</w:t>
      </w:r>
      <w:r w:rsidRPr="00A46074">
        <w:t xml:space="preserve"> un incremento en </w:t>
      </w:r>
      <w:r w:rsidRPr="00FD01E0">
        <w:t>cinco veces</w:t>
      </w:r>
      <w:r w:rsidRPr="00A46074">
        <w:t xml:space="preserve"> el número de sintomáticos respiratorios (identificados) con relación al año 2006, este crecimiento no causo un aumento en la detección de casos de TB, al contrario, se refleja un descenso importante del índice de positividad, pasando a 5.15% en 2006 a 0.8% en 2016.</w:t>
      </w:r>
    </w:p>
    <w:p w:rsidR="00BE5A03" w:rsidRPr="00A60A56" w:rsidRDefault="00BE5A03" w:rsidP="00BE5A03">
      <w:pPr>
        <w:spacing w:line="240" w:lineRule="auto"/>
      </w:pPr>
    </w:p>
    <w:p w:rsidR="00BE5A03" w:rsidRPr="00A46074" w:rsidRDefault="00BE5A03" w:rsidP="00BE5A03"/>
    <w:p w:rsidR="00C63D72" w:rsidRDefault="00C63D72" w:rsidP="008B35C6"/>
    <w:p w:rsidR="00F82E3B" w:rsidRDefault="00F82E3B">
      <w:pPr>
        <w:spacing w:before="0" w:beforeAutospacing="0" w:after="160" w:afterAutospacing="0" w:line="259" w:lineRule="auto"/>
        <w:jc w:val="left"/>
        <w:rPr>
          <w:rFonts w:ascii="Calibri" w:eastAsia="Times New Roman" w:hAnsi="Calibri" w:cs="Times New Roman"/>
          <w:color w:val="000000"/>
        </w:rPr>
      </w:pPr>
      <w:r>
        <w:rPr>
          <w:rFonts w:ascii="Calibri" w:eastAsia="Times New Roman" w:hAnsi="Calibri" w:cs="Times New Roman"/>
          <w:color w:val="000000"/>
        </w:rPr>
        <w:br w:type="page"/>
      </w:r>
    </w:p>
    <w:p w:rsidR="00F82E3B" w:rsidRPr="00F82E3B" w:rsidRDefault="00E12263" w:rsidP="00F82E3B">
      <w:pPr>
        <w:jc w:val="center"/>
        <w:rPr>
          <w:rFonts w:eastAsia="Times New Roman" w:cs="Times New Roman"/>
          <w:b/>
          <w:color w:val="000000"/>
          <w:sz w:val="20"/>
          <w:szCs w:val="20"/>
          <w:lang w:val="es-NI" w:eastAsia="es-NI"/>
        </w:rPr>
      </w:pPr>
      <w:r>
        <w:rPr>
          <w:rFonts w:ascii="Calibri" w:eastAsia="Times New Roman" w:hAnsi="Calibri" w:cs="Times New Roman"/>
          <w:b/>
          <w:color w:val="000000"/>
        </w:rPr>
        <w:lastRenderedPageBreak/>
        <w:t xml:space="preserve">Tabla </w:t>
      </w:r>
      <w:r w:rsidR="00F82E3B" w:rsidRPr="00F82E3B">
        <w:rPr>
          <w:rFonts w:ascii="Calibri" w:eastAsia="Times New Roman" w:hAnsi="Calibri" w:cs="Times New Roman"/>
          <w:b/>
          <w:color w:val="000000"/>
        </w:rPr>
        <w:t>1</w:t>
      </w:r>
      <w:r w:rsidR="003F78BC">
        <w:rPr>
          <w:rFonts w:ascii="Calibri" w:eastAsia="Times New Roman" w:hAnsi="Calibri" w:cs="Times New Roman"/>
          <w:b/>
          <w:color w:val="000000"/>
        </w:rPr>
        <w:t xml:space="preserve">. </w:t>
      </w:r>
      <w:r w:rsidR="00F82E3B" w:rsidRPr="00F82E3B">
        <w:rPr>
          <w:rFonts w:ascii="Calibri" w:eastAsia="Times New Roman" w:hAnsi="Calibri" w:cs="Times New Roman"/>
          <w:b/>
          <w:color w:val="000000"/>
        </w:rPr>
        <w:t xml:space="preserve"> Relación Consultas Médicas y </w:t>
      </w:r>
      <w:r w:rsidR="00F82E3B" w:rsidRPr="00F82E3B">
        <w:rPr>
          <w:rFonts w:ascii="Calibri" w:eastAsia="Times New Roman" w:hAnsi="Calibri" w:cs="Times New Roman"/>
          <w:b/>
          <w:bCs/>
          <w:color w:val="000000"/>
        </w:rPr>
        <w:t>Búsqueda</w:t>
      </w:r>
      <w:r w:rsidR="00F82E3B">
        <w:rPr>
          <w:rFonts w:ascii="Calibri" w:eastAsia="Times New Roman" w:hAnsi="Calibri" w:cs="Times New Roman"/>
          <w:b/>
          <w:color w:val="000000"/>
        </w:rPr>
        <w:t xml:space="preserve"> SR+</w:t>
      </w:r>
      <w:r w:rsidR="0036265F">
        <w:rPr>
          <w:rFonts w:ascii="Calibri" w:eastAsia="Times New Roman" w:hAnsi="Calibri" w:cs="Times New Roman"/>
          <w:b/>
          <w:color w:val="000000"/>
        </w:rPr>
        <w:t>14 2006</w:t>
      </w:r>
      <w:r w:rsidR="00F82E3B">
        <w:rPr>
          <w:rFonts w:ascii="Calibri" w:eastAsia="Times New Roman" w:hAnsi="Calibri" w:cs="Times New Roman"/>
          <w:b/>
          <w:color w:val="000000"/>
        </w:rPr>
        <w:t>-2016</w:t>
      </w:r>
    </w:p>
    <w:tbl>
      <w:tblPr>
        <w:tblStyle w:val="Tabladecuadrcula1clara-nfasis51"/>
        <w:tblW w:w="10779" w:type="dxa"/>
        <w:tblInd w:w="-714" w:type="dxa"/>
        <w:tblLayout w:type="fixed"/>
        <w:tblLook w:val="04A0" w:firstRow="1" w:lastRow="0" w:firstColumn="1" w:lastColumn="0" w:noHBand="0" w:noVBand="1"/>
      </w:tblPr>
      <w:tblGrid>
        <w:gridCol w:w="846"/>
        <w:gridCol w:w="1484"/>
        <w:gridCol w:w="1351"/>
        <w:gridCol w:w="1101"/>
        <w:gridCol w:w="1069"/>
        <w:gridCol w:w="1090"/>
        <w:gridCol w:w="1182"/>
        <w:gridCol w:w="1233"/>
        <w:gridCol w:w="1423"/>
      </w:tblGrid>
      <w:tr w:rsidR="00F82E3B" w:rsidRPr="00F82E3B" w:rsidTr="00F82E3B">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B2468C" w:rsidRPr="00F82E3B" w:rsidRDefault="00B2468C" w:rsidP="00F82E3B">
            <w:pPr>
              <w:rPr>
                <w:b w:val="0"/>
                <w:sz w:val="18"/>
                <w:szCs w:val="18"/>
              </w:rPr>
            </w:pPr>
            <w:r w:rsidRPr="00F82E3B">
              <w:rPr>
                <w:b w:val="0"/>
                <w:sz w:val="18"/>
                <w:szCs w:val="18"/>
              </w:rPr>
              <w:t>Años</w:t>
            </w:r>
          </w:p>
        </w:tc>
        <w:tc>
          <w:tcPr>
            <w:tcW w:w="1484"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B2468C" w:rsidRPr="00F82E3B" w:rsidRDefault="00B2468C" w:rsidP="00F82E3B">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F82E3B">
              <w:rPr>
                <w:b w:val="0"/>
                <w:bCs w:val="0"/>
                <w:sz w:val="18"/>
                <w:szCs w:val="18"/>
              </w:rPr>
              <w:t xml:space="preserve">Consultas Médicas  mayor de 15 años </w:t>
            </w:r>
          </w:p>
        </w:tc>
        <w:tc>
          <w:tcPr>
            <w:tcW w:w="1351"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B2468C" w:rsidRPr="00F82E3B" w:rsidRDefault="00B2468C" w:rsidP="00F82E3B">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F82E3B">
              <w:rPr>
                <w:b w:val="0"/>
                <w:bCs w:val="0"/>
                <w:sz w:val="18"/>
                <w:szCs w:val="18"/>
              </w:rPr>
              <w:t xml:space="preserve">SR+14 Identificados </w:t>
            </w:r>
          </w:p>
        </w:tc>
        <w:tc>
          <w:tcPr>
            <w:tcW w:w="1101"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B2468C" w:rsidRPr="00F82E3B" w:rsidRDefault="00B2468C" w:rsidP="00F82E3B">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F82E3B">
              <w:rPr>
                <w:b w:val="0"/>
                <w:bCs w:val="0"/>
                <w:sz w:val="18"/>
                <w:szCs w:val="18"/>
              </w:rPr>
              <w:t xml:space="preserve">SR+14 examinados </w:t>
            </w:r>
          </w:p>
        </w:tc>
        <w:tc>
          <w:tcPr>
            <w:tcW w:w="1069"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B2468C" w:rsidRPr="00F82E3B" w:rsidRDefault="00B2468C" w:rsidP="00F82E3B">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F82E3B">
              <w:rPr>
                <w:b w:val="0"/>
                <w:bCs w:val="0"/>
                <w:sz w:val="18"/>
                <w:szCs w:val="18"/>
              </w:rPr>
              <w:t xml:space="preserve">TB todas las formas </w:t>
            </w:r>
          </w:p>
        </w:tc>
        <w:tc>
          <w:tcPr>
            <w:tcW w:w="109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B2468C" w:rsidRPr="00F82E3B" w:rsidRDefault="00B2468C" w:rsidP="00F82E3B">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F82E3B">
              <w:rPr>
                <w:b w:val="0"/>
                <w:bCs w:val="0"/>
                <w:sz w:val="18"/>
                <w:szCs w:val="18"/>
              </w:rPr>
              <w:t xml:space="preserve">TB BC </w:t>
            </w:r>
          </w:p>
        </w:tc>
        <w:tc>
          <w:tcPr>
            <w:tcW w:w="118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B2468C" w:rsidRPr="00F82E3B" w:rsidRDefault="00B2468C" w:rsidP="00F82E3B">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F82E3B">
              <w:rPr>
                <w:b w:val="0"/>
                <w:bCs w:val="0"/>
                <w:sz w:val="18"/>
                <w:szCs w:val="18"/>
              </w:rPr>
              <w:t>Índice positividad</w:t>
            </w:r>
          </w:p>
        </w:tc>
        <w:tc>
          <w:tcPr>
            <w:tcW w:w="1233"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B2468C" w:rsidRPr="00F82E3B" w:rsidRDefault="00B2468C" w:rsidP="00F82E3B">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F82E3B">
              <w:rPr>
                <w:b w:val="0"/>
                <w:bCs w:val="0"/>
                <w:sz w:val="18"/>
                <w:szCs w:val="18"/>
              </w:rPr>
              <w:t>% identificados</w:t>
            </w:r>
          </w:p>
        </w:tc>
        <w:tc>
          <w:tcPr>
            <w:tcW w:w="1423"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B2468C" w:rsidRPr="00F82E3B" w:rsidRDefault="00B2468C" w:rsidP="00F82E3B">
            <w:pPr>
              <w:cnfStyle w:val="100000000000" w:firstRow="1" w:lastRow="0" w:firstColumn="0" w:lastColumn="0" w:oddVBand="0" w:evenVBand="0" w:oddHBand="0" w:evenHBand="0" w:firstRowFirstColumn="0" w:firstRowLastColumn="0" w:lastRowFirstColumn="0" w:lastRowLastColumn="0"/>
              <w:rPr>
                <w:b w:val="0"/>
                <w:bCs w:val="0"/>
                <w:sz w:val="18"/>
                <w:szCs w:val="18"/>
              </w:rPr>
            </w:pPr>
            <w:r w:rsidRPr="00F82E3B">
              <w:rPr>
                <w:b w:val="0"/>
                <w:bCs w:val="0"/>
                <w:sz w:val="18"/>
                <w:szCs w:val="18"/>
              </w:rPr>
              <w:t>% Examinados    VS Identificados</w:t>
            </w:r>
          </w:p>
        </w:tc>
      </w:tr>
      <w:tr w:rsidR="00B2468C" w:rsidRPr="00F82E3B" w:rsidTr="00F82E3B">
        <w:trPr>
          <w:trHeight w:val="37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rPr>
                <w:b w:val="0"/>
                <w:sz w:val="18"/>
                <w:szCs w:val="18"/>
              </w:rPr>
            </w:pPr>
            <w:r w:rsidRPr="00F82E3B">
              <w:rPr>
                <w:b w:val="0"/>
                <w:sz w:val="18"/>
                <w:szCs w:val="18"/>
              </w:rPr>
              <w:t>2006</w:t>
            </w:r>
          </w:p>
        </w:tc>
        <w:tc>
          <w:tcPr>
            <w:tcW w:w="1484"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4,848,508</w:t>
            </w:r>
          </w:p>
        </w:tc>
        <w:tc>
          <w:tcPr>
            <w:tcW w:w="1351"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36,123</w:t>
            </w:r>
          </w:p>
        </w:tc>
        <w:tc>
          <w:tcPr>
            <w:tcW w:w="1101"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24</w:t>
            </w:r>
            <w:r w:rsidR="00F82E3B">
              <w:rPr>
                <w:sz w:val="18"/>
                <w:szCs w:val="18"/>
              </w:rPr>
              <w:t>,</w:t>
            </w:r>
            <w:r w:rsidRPr="00F82E3B">
              <w:rPr>
                <w:sz w:val="18"/>
                <w:szCs w:val="18"/>
              </w:rPr>
              <w:t>892</w:t>
            </w:r>
          </w:p>
        </w:tc>
        <w:tc>
          <w:tcPr>
            <w:tcW w:w="1069"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1</w:t>
            </w:r>
            <w:r w:rsidR="00F82E3B">
              <w:rPr>
                <w:sz w:val="18"/>
                <w:szCs w:val="18"/>
              </w:rPr>
              <w:t>,</w:t>
            </w:r>
            <w:r w:rsidRPr="00F82E3B">
              <w:rPr>
                <w:sz w:val="18"/>
                <w:szCs w:val="18"/>
              </w:rPr>
              <w:t>996</w:t>
            </w:r>
          </w:p>
        </w:tc>
        <w:tc>
          <w:tcPr>
            <w:tcW w:w="1090"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1</w:t>
            </w:r>
            <w:r w:rsidR="00F82E3B">
              <w:rPr>
                <w:sz w:val="18"/>
                <w:szCs w:val="18"/>
              </w:rPr>
              <w:t>,</w:t>
            </w:r>
            <w:r w:rsidRPr="00F82E3B">
              <w:rPr>
                <w:sz w:val="18"/>
                <w:szCs w:val="18"/>
              </w:rPr>
              <w:t>283</w:t>
            </w:r>
          </w:p>
        </w:tc>
        <w:tc>
          <w:tcPr>
            <w:tcW w:w="1182" w:type="dxa"/>
            <w:tcBorders>
              <w:top w:val="single" w:sz="4" w:space="0" w:color="auto"/>
              <w:left w:val="single" w:sz="4" w:space="0" w:color="auto"/>
              <w:bottom w:val="single" w:sz="4" w:space="0" w:color="auto"/>
              <w:right w:val="single" w:sz="4" w:space="0" w:color="auto"/>
            </w:tcBorders>
            <w:noWrap/>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5,15</w:t>
            </w:r>
          </w:p>
        </w:tc>
        <w:tc>
          <w:tcPr>
            <w:tcW w:w="1233" w:type="dxa"/>
            <w:tcBorders>
              <w:top w:val="single" w:sz="4" w:space="0" w:color="auto"/>
              <w:left w:val="single" w:sz="4" w:space="0" w:color="auto"/>
              <w:bottom w:val="single" w:sz="4" w:space="0" w:color="auto"/>
              <w:right w:val="single" w:sz="4" w:space="0" w:color="auto"/>
            </w:tcBorders>
            <w:noWrap/>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0,75</w:t>
            </w:r>
          </w:p>
        </w:tc>
        <w:tc>
          <w:tcPr>
            <w:tcW w:w="1423" w:type="dxa"/>
            <w:tcBorders>
              <w:top w:val="single" w:sz="4" w:space="0" w:color="auto"/>
              <w:left w:val="single" w:sz="4" w:space="0" w:color="auto"/>
              <w:bottom w:val="single" w:sz="4" w:space="0" w:color="auto"/>
              <w:right w:val="single" w:sz="4" w:space="0" w:color="auto"/>
            </w:tcBorders>
            <w:noWrap/>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68,91</w:t>
            </w:r>
          </w:p>
        </w:tc>
      </w:tr>
      <w:tr w:rsidR="00B2468C" w:rsidRPr="00F82E3B" w:rsidTr="00F82E3B">
        <w:trPr>
          <w:trHeight w:val="4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rPr>
                <w:b w:val="0"/>
                <w:sz w:val="18"/>
                <w:szCs w:val="18"/>
              </w:rPr>
            </w:pPr>
            <w:r w:rsidRPr="00F82E3B">
              <w:rPr>
                <w:b w:val="0"/>
                <w:sz w:val="18"/>
                <w:szCs w:val="18"/>
              </w:rPr>
              <w:t>2007</w:t>
            </w:r>
          </w:p>
        </w:tc>
        <w:tc>
          <w:tcPr>
            <w:tcW w:w="1484"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6,329,857</w:t>
            </w:r>
          </w:p>
        </w:tc>
        <w:tc>
          <w:tcPr>
            <w:tcW w:w="1351"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33,130</w:t>
            </w:r>
          </w:p>
        </w:tc>
        <w:tc>
          <w:tcPr>
            <w:tcW w:w="1101"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23</w:t>
            </w:r>
            <w:r w:rsidR="00F82E3B">
              <w:rPr>
                <w:sz w:val="18"/>
                <w:szCs w:val="18"/>
              </w:rPr>
              <w:t>,</w:t>
            </w:r>
            <w:r w:rsidRPr="00F82E3B">
              <w:rPr>
                <w:sz w:val="18"/>
                <w:szCs w:val="18"/>
              </w:rPr>
              <w:t>483</w:t>
            </w:r>
          </w:p>
        </w:tc>
        <w:tc>
          <w:tcPr>
            <w:tcW w:w="1069"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2</w:t>
            </w:r>
            <w:r w:rsidR="00F82E3B">
              <w:rPr>
                <w:sz w:val="18"/>
                <w:szCs w:val="18"/>
              </w:rPr>
              <w:t>,</w:t>
            </w:r>
            <w:r w:rsidRPr="00F82E3B">
              <w:rPr>
                <w:sz w:val="18"/>
                <w:szCs w:val="18"/>
              </w:rPr>
              <w:t>336</w:t>
            </w:r>
          </w:p>
        </w:tc>
        <w:tc>
          <w:tcPr>
            <w:tcW w:w="1090"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1</w:t>
            </w:r>
            <w:r w:rsidR="00F82E3B">
              <w:rPr>
                <w:sz w:val="18"/>
                <w:szCs w:val="18"/>
              </w:rPr>
              <w:t>,</w:t>
            </w:r>
            <w:r w:rsidRPr="00F82E3B">
              <w:rPr>
                <w:sz w:val="18"/>
                <w:szCs w:val="18"/>
              </w:rPr>
              <w:t>456</w:t>
            </w:r>
          </w:p>
        </w:tc>
        <w:tc>
          <w:tcPr>
            <w:tcW w:w="1182" w:type="dxa"/>
            <w:tcBorders>
              <w:top w:val="single" w:sz="4" w:space="0" w:color="auto"/>
              <w:left w:val="single" w:sz="4" w:space="0" w:color="auto"/>
              <w:bottom w:val="single" w:sz="4" w:space="0" w:color="auto"/>
              <w:right w:val="single" w:sz="4" w:space="0" w:color="auto"/>
            </w:tcBorders>
            <w:noWrap/>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6,20</w:t>
            </w:r>
          </w:p>
        </w:tc>
        <w:tc>
          <w:tcPr>
            <w:tcW w:w="1233" w:type="dxa"/>
            <w:tcBorders>
              <w:top w:val="single" w:sz="4" w:space="0" w:color="auto"/>
              <w:left w:val="single" w:sz="4" w:space="0" w:color="auto"/>
              <w:bottom w:val="single" w:sz="4" w:space="0" w:color="auto"/>
              <w:right w:val="single" w:sz="4" w:space="0" w:color="auto"/>
            </w:tcBorders>
            <w:noWrap/>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0,52</w:t>
            </w:r>
          </w:p>
        </w:tc>
        <w:tc>
          <w:tcPr>
            <w:tcW w:w="1423" w:type="dxa"/>
            <w:tcBorders>
              <w:top w:val="single" w:sz="4" w:space="0" w:color="auto"/>
              <w:left w:val="single" w:sz="4" w:space="0" w:color="auto"/>
              <w:bottom w:val="single" w:sz="4" w:space="0" w:color="auto"/>
              <w:right w:val="single" w:sz="4" w:space="0" w:color="auto"/>
            </w:tcBorders>
            <w:noWrap/>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70,88</w:t>
            </w:r>
          </w:p>
        </w:tc>
      </w:tr>
      <w:tr w:rsidR="00B2468C" w:rsidRPr="00F82E3B" w:rsidTr="00F82E3B">
        <w:trPr>
          <w:trHeight w:val="26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rPr>
                <w:b w:val="0"/>
                <w:sz w:val="18"/>
                <w:szCs w:val="18"/>
              </w:rPr>
            </w:pPr>
            <w:r w:rsidRPr="00F82E3B">
              <w:rPr>
                <w:b w:val="0"/>
                <w:sz w:val="18"/>
                <w:szCs w:val="18"/>
              </w:rPr>
              <w:t>2008</w:t>
            </w:r>
          </w:p>
        </w:tc>
        <w:tc>
          <w:tcPr>
            <w:tcW w:w="1484"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7,365,808</w:t>
            </w:r>
          </w:p>
        </w:tc>
        <w:tc>
          <w:tcPr>
            <w:tcW w:w="1351"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35,123</w:t>
            </w:r>
          </w:p>
        </w:tc>
        <w:tc>
          <w:tcPr>
            <w:tcW w:w="1101"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24</w:t>
            </w:r>
            <w:r w:rsidR="00F82E3B">
              <w:rPr>
                <w:sz w:val="18"/>
                <w:szCs w:val="18"/>
              </w:rPr>
              <w:t>,</w:t>
            </w:r>
            <w:r w:rsidRPr="00F82E3B">
              <w:rPr>
                <w:sz w:val="18"/>
                <w:szCs w:val="18"/>
              </w:rPr>
              <w:t>564</w:t>
            </w:r>
          </w:p>
        </w:tc>
        <w:tc>
          <w:tcPr>
            <w:tcW w:w="1069"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2</w:t>
            </w:r>
            <w:r w:rsidR="00F82E3B">
              <w:rPr>
                <w:sz w:val="18"/>
                <w:szCs w:val="18"/>
              </w:rPr>
              <w:t>,</w:t>
            </w:r>
            <w:r w:rsidRPr="00F82E3B">
              <w:rPr>
                <w:sz w:val="18"/>
                <w:szCs w:val="18"/>
              </w:rPr>
              <w:t>196</w:t>
            </w:r>
          </w:p>
        </w:tc>
        <w:tc>
          <w:tcPr>
            <w:tcW w:w="1090"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1</w:t>
            </w:r>
            <w:r w:rsidR="00F82E3B">
              <w:rPr>
                <w:sz w:val="18"/>
                <w:szCs w:val="18"/>
              </w:rPr>
              <w:t>,</w:t>
            </w:r>
            <w:r w:rsidRPr="00F82E3B">
              <w:rPr>
                <w:sz w:val="18"/>
                <w:szCs w:val="18"/>
              </w:rPr>
              <w:t>401</w:t>
            </w:r>
          </w:p>
        </w:tc>
        <w:tc>
          <w:tcPr>
            <w:tcW w:w="1182" w:type="dxa"/>
            <w:tcBorders>
              <w:top w:val="single" w:sz="4" w:space="0" w:color="auto"/>
              <w:left w:val="single" w:sz="4" w:space="0" w:color="auto"/>
              <w:bottom w:val="single" w:sz="4" w:space="0" w:color="auto"/>
              <w:right w:val="single" w:sz="4" w:space="0" w:color="auto"/>
            </w:tcBorders>
            <w:noWrap/>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5,70</w:t>
            </w:r>
          </w:p>
        </w:tc>
        <w:tc>
          <w:tcPr>
            <w:tcW w:w="1233" w:type="dxa"/>
            <w:tcBorders>
              <w:top w:val="single" w:sz="4" w:space="0" w:color="auto"/>
              <w:left w:val="single" w:sz="4" w:space="0" w:color="auto"/>
              <w:bottom w:val="single" w:sz="4" w:space="0" w:color="auto"/>
              <w:right w:val="single" w:sz="4" w:space="0" w:color="auto"/>
            </w:tcBorders>
            <w:noWrap/>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0,48</w:t>
            </w:r>
          </w:p>
        </w:tc>
        <w:tc>
          <w:tcPr>
            <w:tcW w:w="1423" w:type="dxa"/>
            <w:tcBorders>
              <w:top w:val="single" w:sz="4" w:space="0" w:color="auto"/>
              <w:left w:val="single" w:sz="4" w:space="0" w:color="auto"/>
              <w:bottom w:val="single" w:sz="4" w:space="0" w:color="auto"/>
              <w:right w:val="single" w:sz="4" w:space="0" w:color="auto"/>
            </w:tcBorders>
            <w:noWrap/>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69,94</w:t>
            </w:r>
          </w:p>
        </w:tc>
      </w:tr>
      <w:tr w:rsidR="00B2468C" w:rsidRPr="00F82E3B" w:rsidTr="00F82E3B">
        <w:trPr>
          <w:trHeight w:val="344"/>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rPr>
                <w:b w:val="0"/>
                <w:sz w:val="18"/>
                <w:szCs w:val="18"/>
              </w:rPr>
            </w:pPr>
            <w:r w:rsidRPr="00F82E3B">
              <w:rPr>
                <w:b w:val="0"/>
                <w:sz w:val="18"/>
                <w:szCs w:val="18"/>
              </w:rPr>
              <w:t>2009</w:t>
            </w:r>
          </w:p>
        </w:tc>
        <w:tc>
          <w:tcPr>
            <w:tcW w:w="1484"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8,158,630</w:t>
            </w:r>
          </w:p>
        </w:tc>
        <w:tc>
          <w:tcPr>
            <w:tcW w:w="1351"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32,150</w:t>
            </w:r>
          </w:p>
        </w:tc>
        <w:tc>
          <w:tcPr>
            <w:tcW w:w="1101"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26</w:t>
            </w:r>
            <w:r w:rsidR="00F82E3B">
              <w:rPr>
                <w:sz w:val="18"/>
                <w:szCs w:val="18"/>
              </w:rPr>
              <w:t>,</w:t>
            </w:r>
            <w:r w:rsidRPr="00F82E3B">
              <w:rPr>
                <w:sz w:val="18"/>
                <w:szCs w:val="18"/>
              </w:rPr>
              <w:t>375</w:t>
            </w:r>
          </w:p>
        </w:tc>
        <w:tc>
          <w:tcPr>
            <w:tcW w:w="1069"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2</w:t>
            </w:r>
            <w:r w:rsidR="00F82E3B">
              <w:rPr>
                <w:sz w:val="18"/>
                <w:szCs w:val="18"/>
              </w:rPr>
              <w:t>,</w:t>
            </w:r>
            <w:r w:rsidRPr="00F82E3B">
              <w:rPr>
                <w:sz w:val="18"/>
                <w:szCs w:val="18"/>
              </w:rPr>
              <w:t>283</w:t>
            </w:r>
          </w:p>
        </w:tc>
        <w:tc>
          <w:tcPr>
            <w:tcW w:w="1090"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1</w:t>
            </w:r>
            <w:r w:rsidR="00F82E3B">
              <w:rPr>
                <w:sz w:val="18"/>
                <w:szCs w:val="18"/>
              </w:rPr>
              <w:t>,</w:t>
            </w:r>
            <w:r w:rsidRPr="00F82E3B">
              <w:rPr>
                <w:sz w:val="18"/>
                <w:szCs w:val="18"/>
              </w:rPr>
              <w:t>329</w:t>
            </w:r>
          </w:p>
        </w:tc>
        <w:tc>
          <w:tcPr>
            <w:tcW w:w="1182" w:type="dxa"/>
            <w:tcBorders>
              <w:top w:val="single" w:sz="4" w:space="0" w:color="auto"/>
              <w:left w:val="single" w:sz="4" w:space="0" w:color="auto"/>
              <w:bottom w:val="single" w:sz="4" w:space="0" w:color="auto"/>
              <w:right w:val="single" w:sz="4" w:space="0" w:color="auto"/>
            </w:tcBorders>
            <w:noWrap/>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5,04</w:t>
            </w:r>
          </w:p>
        </w:tc>
        <w:tc>
          <w:tcPr>
            <w:tcW w:w="1233" w:type="dxa"/>
            <w:tcBorders>
              <w:top w:val="single" w:sz="4" w:space="0" w:color="auto"/>
              <w:left w:val="single" w:sz="4" w:space="0" w:color="auto"/>
              <w:bottom w:val="single" w:sz="4" w:space="0" w:color="auto"/>
              <w:right w:val="single" w:sz="4" w:space="0" w:color="auto"/>
            </w:tcBorders>
            <w:noWrap/>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0,39</w:t>
            </w:r>
          </w:p>
        </w:tc>
        <w:tc>
          <w:tcPr>
            <w:tcW w:w="1423" w:type="dxa"/>
            <w:tcBorders>
              <w:top w:val="single" w:sz="4" w:space="0" w:color="auto"/>
              <w:left w:val="single" w:sz="4" w:space="0" w:color="auto"/>
              <w:bottom w:val="single" w:sz="4" w:space="0" w:color="auto"/>
              <w:right w:val="single" w:sz="4" w:space="0" w:color="auto"/>
            </w:tcBorders>
            <w:noWrap/>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82,04</w:t>
            </w:r>
          </w:p>
        </w:tc>
      </w:tr>
      <w:tr w:rsidR="00B2468C" w:rsidRPr="00F82E3B" w:rsidTr="00F82E3B">
        <w:trPr>
          <w:trHeight w:val="264"/>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rPr>
                <w:b w:val="0"/>
                <w:sz w:val="18"/>
                <w:szCs w:val="18"/>
              </w:rPr>
            </w:pPr>
            <w:r w:rsidRPr="00F82E3B">
              <w:rPr>
                <w:b w:val="0"/>
                <w:sz w:val="18"/>
                <w:szCs w:val="18"/>
              </w:rPr>
              <w:t>2010</w:t>
            </w:r>
          </w:p>
        </w:tc>
        <w:tc>
          <w:tcPr>
            <w:tcW w:w="1484"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8,746,265</w:t>
            </w:r>
          </w:p>
        </w:tc>
        <w:tc>
          <w:tcPr>
            <w:tcW w:w="1351"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30,141</w:t>
            </w:r>
          </w:p>
        </w:tc>
        <w:tc>
          <w:tcPr>
            <w:tcW w:w="1101"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29</w:t>
            </w:r>
            <w:r w:rsidR="00F82E3B">
              <w:rPr>
                <w:sz w:val="18"/>
                <w:szCs w:val="18"/>
              </w:rPr>
              <w:t>,</w:t>
            </w:r>
            <w:r w:rsidRPr="00F82E3B">
              <w:rPr>
                <w:sz w:val="18"/>
                <w:szCs w:val="18"/>
              </w:rPr>
              <w:t>537</w:t>
            </w:r>
          </w:p>
        </w:tc>
        <w:tc>
          <w:tcPr>
            <w:tcW w:w="1069"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2</w:t>
            </w:r>
            <w:r w:rsidR="00F82E3B">
              <w:rPr>
                <w:sz w:val="18"/>
                <w:szCs w:val="18"/>
              </w:rPr>
              <w:t>,</w:t>
            </w:r>
            <w:r w:rsidRPr="00F82E3B">
              <w:rPr>
                <w:sz w:val="18"/>
                <w:szCs w:val="18"/>
              </w:rPr>
              <w:t>448</w:t>
            </w:r>
          </w:p>
        </w:tc>
        <w:tc>
          <w:tcPr>
            <w:tcW w:w="1090"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1</w:t>
            </w:r>
            <w:r w:rsidR="00F82E3B">
              <w:rPr>
                <w:sz w:val="18"/>
                <w:szCs w:val="18"/>
              </w:rPr>
              <w:t>,</w:t>
            </w:r>
            <w:r w:rsidRPr="00F82E3B">
              <w:rPr>
                <w:sz w:val="18"/>
                <w:szCs w:val="18"/>
              </w:rPr>
              <w:t>440</w:t>
            </w:r>
          </w:p>
        </w:tc>
        <w:tc>
          <w:tcPr>
            <w:tcW w:w="1182" w:type="dxa"/>
            <w:tcBorders>
              <w:top w:val="single" w:sz="4" w:space="0" w:color="auto"/>
              <w:left w:val="single" w:sz="4" w:space="0" w:color="auto"/>
              <w:bottom w:val="single" w:sz="4" w:space="0" w:color="auto"/>
              <w:right w:val="single" w:sz="4" w:space="0" w:color="auto"/>
            </w:tcBorders>
            <w:noWrap/>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4,88</w:t>
            </w:r>
          </w:p>
        </w:tc>
        <w:tc>
          <w:tcPr>
            <w:tcW w:w="1233" w:type="dxa"/>
            <w:tcBorders>
              <w:top w:val="single" w:sz="4" w:space="0" w:color="auto"/>
              <w:left w:val="single" w:sz="4" w:space="0" w:color="auto"/>
              <w:bottom w:val="single" w:sz="4" w:space="0" w:color="auto"/>
              <w:right w:val="single" w:sz="4" w:space="0" w:color="auto"/>
            </w:tcBorders>
            <w:noWrap/>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0,34</w:t>
            </w:r>
          </w:p>
        </w:tc>
        <w:tc>
          <w:tcPr>
            <w:tcW w:w="1423" w:type="dxa"/>
            <w:tcBorders>
              <w:top w:val="single" w:sz="4" w:space="0" w:color="auto"/>
              <w:left w:val="single" w:sz="4" w:space="0" w:color="auto"/>
              <w:bottom w:val="single" w:sz="4" w:space="0" w:color="auto"/>
              <w:right w:val="single" w:sz="4" w:space="0" w:color="auto"/>
            </w:tcBorders>
            <w:noWrap/>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98,00</w:t>
            </w:r>
          </w:p>
        </w:tc>
      </w:tr>
      <w:tr w:rsidR="00B2468C" w:rsidRPr="00F82E3B" w:rsidTr="00F82E3B">
        <w:trPr>
          <w:trHeight w:val="326"/>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rPr>
                <w:b w:val="0"/>
                <w:sz w:val="18"/>
                <w:szCs w:val="18"/>
              </w:rPr>
            </w:pPr>
            <w:r w:rsidRPr="00F82E3B">
              <w:rPr>
                <w:b w:val="0"/>
                <w:sz w:val="18"/>
                <w:szCs w:val="18"/>
              </w:rPr>
              <w:t>2011</w:t>
            </w:r>
          </w:p>
        </w:tc>
        <w:tc>
          <w:tcPr>
            <w:tcW w:w="1484"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9,721,137</w:t>
            </w:r>
          </w:p>
        </w:tc>
        <w:tc>
          <w:tcPr>
            <w:tcW w:w="1351"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39,782</w:t>
            </w:r>
          </w:p>
        </w:tc>
        <w:tc>
          <w:tcPr>
            <w:tcW w:w="1101"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31</w:t>
            </w:r>
            <w:r w:rsidR="00F82E3B">
              <w:rPr>
                <w:sz w:val="18"/>
                <w:szCs w:val="18"/>
              </w:rPr>
              <w:t>,</w:t>
            </w:r>
            <w:r w:rsidRPr="00F82E3B">
              <w:rPr>
                <w:sz w:val="18"/>
                <w:szCs w:val="18"/>
              </w:rPr>
              <w:t>282</w:t>
            </w:r>
          </w:p>
        </w:tc>
        <w:tc>
          <w:tcPr>
            <w:tcW w:w="1069"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2</w:t>
            </w:r>
            <w:r w:rsidR="00F82E3B">
              <w:rPr>
                <w:sz w:val="18"/>
                <w:szCs w:val="18"/>
              </w:rPr>
              <w:t>,</w:t>
            </w:r>
            <w:r w:rsidRPr="00F82E3B">
              <w:rPr>
                <w:sz w:val="18"/>
                <w:szCs w:val="18"/>
              </w:rPr>
              <w:t>612</w:t>
            </w:r>
          </w:p>
        </w:tc>
        <w:tc>
          <w:tcPr>
            <w:tcW w:w="1090"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1</w:t>
            </w:r>
            <w:r w:rsidR="00F82E3B">
              <w:rPr>
                <w:sz w:val="18"/>
                <w:szCs w:val="18"/>
              </w:rPr>
              <w:t>,</w:t>
            </w:r>
            <w:r w:rsidRPr="00F82E3B">
              <w:rPr>
                <w:sz w:val="18"/>
                <w:szCs w:val="18"/>
              </w:rPr>
              <w:t>552</w:t>
            </w:r>
          </w:p>
        </w:tc>
        <w:tc>
          <w:tcPr>
            <w:tcW w:w="1182" w:type="dxa"/>
            <w:tcBorders>
              <w:top w:val="single" w:sz="4" w:space="0" w:color="auto"/>
              <w:left w:val="single" w:sz="4" w:space="0" w:color="auto"/>
              <w:bottom w:val="single" w:sz="4" w:space="0" w:color="auto"/>
              <w:right w:val="single" w:sz="4" w:space="0" w:color="auto"/>
            </w:tcBorders>
            <w:noWrap/>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4,96</w:t>
            </w:r>
          </w:p>
        </w:tc>
        <w:tc>
          <w:tcPr>
            <w:tcW w:w="1233" w:type="dxa"/>
            <w:tcBorders>
              <w:top w:val="single" w:sz="4" w:space="0" w:color="auto"/>
              <w:left w:val="single" w:sz="4" w:space="0" w:color="auto"/>
              <w:bottom w:val="single" w:sz="4" w:space="0" w:color="auto"/>
              <w:right w:val="single" w:sz="4" w:space="0" w:color="auto"/>
            </w:tcBorders>
            <w:noWrap/>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0,41</w:t>
            </w:r>
          </w:p>
        </w:tc>
        <w:tc>
          <w:tcPr>
            <w:tcW w:w="1423" w:type="dxa"/>
            <w:tcBorders>
              <w:top w:val="single" w:sz="4" w:space="0" w:color="auto"/>
              <w:left w:val="single" w:sz="4" w:space="0" w:color="auto"/>
              <w:bottom w:val="single" w:sz="4" w:space="0" w:color="auto"/>
              <w:right w:val="single" w:sz="4" w:space="0" w:color="auto"/>
            </w:tcBorders>
            <w:noWrap/>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78,63</w:t>
            </w:r>
          </w:p>
        </w:tc>
      </w:tr>
      <w:tr w:rsidR="00B2468C" w:rsidRPr="00F82E3B" w:rsidTr="00F82E3B">
        <w:trPr>
          <w:trHeight w:val="1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rPr>
                <w:b w:val="0"/>
                <w:sz w:val="18"/>
                <w:szCs w:val="18"/>
              </w:rPr>
            </w:pPr>
            <w:r w:rsidRPr="00F82E3B">
              <w:rPr>
                <w:b w:val="0"/>
                <w:sz w:val="18"/>
                <w:szCs w:val="18"/>
              </w:rPr>
              <w:t>2012</w:t>
            </w:r>
          </w:p>
        </w:tc>
        <w:tc>
          <w:tcPr>
            <w:tcW w:w="1484"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10,066,316</w:t>
            </w:r>
          </w:p>
        </w:tc>
        <w:tc>
          <w:tcPr>
            <w:tcW w:w="1351"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45,295</w:t>
            </w:r>
          </w:p>
        </w:tc>
        <w:tc>
          <w:tcPr>
            <w:tcW w:w="1101"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37</w:t>
            </w:r>
            <w:r w:rsidR="00F82E3B">
              <w:rPr>
                <w:sz w:val="18"/>
                <w:szCs w:val="18"/>
              </w:rPr>
              <w:t>,</w:t>
            </w:r>
            <w:r w:rsidRPr="00F82E3B">
              <w:rPr>
                <w:sz w:val="18"/>
                <w:szCs w:val="18"/>
              </w:rPr>
              <w:t>063</w:t>
            </w:r>
          </w:p>
        </w:tc>
        <w:tc>
          <w:tcPr>
            <w:tcW w:w="1069"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2</w:t>
            </w:r>
            <w:r w:rsidR="00F82E3B">
              <w:rPr>
                <w:sz w:val="18"/>
                <w:szCs w:val="18"/>
              </w:rPr>
              <w:t>,</w:t>
            </w:r>
            <w:r w:rsidRPr="00F82E3B">
              <w:rPr>
                <w:sz w:val="18"/>
                <w:szCs w:val="18"/>
              </w:rPr>
              <w:t>835</w:t>
            </w:r>
          </w:p>
        </w:tc>
        <w:tc>
          <w:tcPr>
            <w:tcW w:w="1090"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1</w:t>
            </w:r>
            <w:r w:rsidR="00F82E3B">
              <w:rPr>
                <w:sz w:val="18"/>
                <w:szCs w:val="18"/>
              </w:rPr>
              <w:t>,</w:t>
            </w:r>
            <w:r w:rsidRPr="00F82E3B">
              <w:rPr>
                <w:sz w:val="18"/>
                <w:szCs w:val="18"/>
              </w:rPr>
              <w:t>520</w:t>
            </w:r>
          </w:p>
        </w:tc>
        <w:tc>
          <w:tcPr>
            <w:tcW w:w="1182" w:type="dxa"/>
            <w:tcBorders>
              <w:top w:val="single" w:sz="4" w:space="0" w:color="auto"/>
              <w:left w:val="single" w:sz="4" w:space="0" w:color="auto"/>
              <w:bottom w:val="single" w:sz="4" w:space="0" w:color="auto"/>
              <w:right w:val="single" w:sz="4" w:space="0" w:color="auto"/>
            </w:tcBorders>
            <w:noWrap/>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4,10</w:t>
            </w:r>
          </w:p>
        </w:tc>
        <w:tc>
          <w:tcPr>
            <w:tcW w:w="1233" w:type="dxa"/>
            <w:tcBorders>
              <w:top w:val="single" w:sz="4" w:space="0" w:color="auto"/>
              <w:left w:val="single" w:sz="4" w:space="0" w:color="auto"/>
              <w:bottom w:val="single" w:sz="4" w:space="0" w:color="auto"/>
              <w:right w:val="single" w:sz="4" w:space="0" w:color="auto"/>
            </w:tcBorders>
            <w:noWrap/>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0,45</w:t>
            </w:r>
          </w:p>
        </w:tc>
        <w:tc>
          <w:tcPr>
            <w:tcW w:w="1423" w:type="dxa"/>
            <w:tcBorders>
              <w:top w:val="single" w:sz="4" w:space="0" w:color="auto"/>
              <w:left w:val="single" w:sz="4" w:space="0" w:color="auto"/>
              <w:bottom w:val="single" w:sz="4" w:space="0" w:color="auto"/>
              <w:right w:val="single" w:sz="4" w:space="0" w:color="auto"/>
            </w:tcBorders>
            <w:noWrap/>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81,83</w:t>
            </w:r>
          </w:p>
        </w:tc>
      </w:tr>
      <w:tr w:rsidR="00B2468C" w:rsidRPr="00F82E3B" w:rsidTr="00F82E3B">
        <w:trPr>
          <w:trHeight w:val="322"/>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rPr>
                <w:b w:val="0"/>
                <w:sz w:val="18"/>
                <w:szCs w:val="18"/>
              </w:rPr>
            </w:pPr>
            <w:r w:rsidRPr="00F82E3B">
              <w:rPr>
                <w:b w:val="0"/>
                <w:sz w:val="18"/>
                <w:szCs w:val="18"/>
              </w:rPr>
              <w:t>2013</w:t>
            </w:r>
          </w:p>
        </w:tc>
        <w:tc>
          <w:tcPr>
            <w:tcW w:w="1484"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11,357,508</w:t>
            </w:r>
          </w:p>
        </w:tc>
        <w:tc>
          <w:tcPr>
            <w:tcW w:w="1351"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74,728</w:t>
            </w:r>
          </w:p>
        </w:tc>
        <w:tc>
          <w:tcPr>
            <w:tcW w:w="1101"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60</w:t>
            </w:r>
            <w:r w:rsidR="00F82E3B">
              <w:rPr>
                <w:sz w:val="18"/>
                <w:szCs w:val="18"/>
              </w:rPr>
              <w:t>,</w:t>
            </w:r>
            <w:r w:rsidRPr="00F82E3B">
              <w:rPr>
                <w:sz w:val="18"/>
                <w:szCs w:val="18"/>
              </w:rPr>
              <w:t>859</w:t>
            </w:r>
          </w:p>
        </w:tc>
        <w:tc>
          <w:tcPr>
            <w:tcW w:w="1069"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2</w:t>
            </w:r>
            <w:r w:rsidR="00F82E3B">
              <w:rPr>
                <w:sz w:val="18"/>
                <w:szCs w:val="18"/>
              </w:rPr>
              <w:t>,</w:t>
            </w:r>
            <w:r w:rsidRPr="00F82E3B">
              <w:rPr>
                <w:sz w:val="18"/>
                <w:szCs w:val="18"/>
              </w:rPr>
              <w:t>742</w:t>
            </w:r>
          </w:p>
        </w:tc>
        <w:tc>
          <w:tcPr>
            <w:tcW w:w="1090"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1</w:t>
            </w:r>
            <w:r w:rsidR="00F82E3B">
              <w:rPr>
                <w:sz w:val="18"/>
                <w:szCs w:val="18"/>
              </w:rPr>
              <w:t>,</w:t>
            </w:r>
            <w:r w:rsidRPr="00F82E3B">
              <w:rPr>
                <w:sz w:val="18"/>
                <w:szCs w:val="18"/>
              </w:rPr>
              <w:t>438</w:t>
            </w:r>
          </w:p>
        </w:tc>
        <w:tc>
          <w:tcPr>
            <w:tcW w:w="1182" w:type="dxa"/>
            <w:tcBorders>
              <w:top w:val="single" w:sz="4" w:space="0" w:color="auto"/>
              <w:left w:val="single" w:sz="4" w:space="0" w:color="auto"/>
              <w:bottom w:val="single" w:sz="4" w:space="0" w:color="auto"/>
              <w:right w:val="single" w:sz="4" w:space="0" w:color="auto"/>
            </w:tcBorders>
            <w:noWrap/>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2,36</w:t>
            </w:r>
          </w:p>
        </w:tc>
        <w:tc>
          <w:tcPr>
            <w:tcW w:w="1233" w:type="dxa"/>
            <w:tcBorders>
              <w:top w:val="single" w:sz="4" w:space="0" w:color="auto"/>
              <w:left w:val="single" w:sz="4" w:space="0" w:color="auto"/>
              <w:bottom w:val="single" w:sz="4" w:space="0" w:color="auto"/>
              <w:right w:val="single" w:sz="4" w:space="0" w:color="auto"/>
            </w:tcBorders>
            <w:noWrap/>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0,66</w:t>
            </w:r>
          </w:p>
        </w:tc>
        <w:tc>
          <w:tcPr>
            <w:tcW w:w="1423" w:type="dxa"/>
            <w:tcBorders>
              <w:top w:val="single" w:sz="4" w:space="0" w:color="auto"/>
              <w:left w:val="single" w:sz="4" w:space="0" w:color="auto"/>
              <w:bottom w:val="single" w:sz="4" w:space="0" w:color="auto"/>
              <w:right w:val="single" w:sz="4" w:space="0" w:color="auto"/>
            </w:tcBorders>
            <w:noWrap/>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81,44</w:t>
            </w:r>
          </w:p>
        </w:tc>
      </w:tr>
      <w:tr w:rsidR="00B2468C" w:rsidRPr="00F82E3B" w:rsidTr="00F82E3B">
        <w:trPr>
          <w:trHeight w:val="24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noWrap/>
            <w:hideMark/>
          </w:tcPr>
          <w:p w:rsidR="00B2468C" w:rsidRPr="00F82E3B" w:rsidRDefault="00B2468C" w:rsidP="00F82E3B">
            <w:pPr>
              <w:rPr>
                <w:b w:val="0"/>
                <w:sz w:val="18"/>
                <w:szCs w:val="18"/>
              </w:rPr>
            </w:pPr>
            <w:r w:rsidRPr="00F82E3B">
              <w:rPr>
                <w:b w:val="0"/>
                <w:sz w:val="18"/>
                <w:szCs w:val="18"/>
              </w:rPr>
              <w:t>2014</w:t>
            </w:r>
          </w:p>
        </w:tc>
        <w:tc>
          <w:tcPr>
            <w:tcW w:w="1484"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11,773,164</w:t>
            </w:r>
          </w:p>
        </w:tc>
        <w:tc>
          <w:tcPr>
            <w:tcW w:w="1351" w:type="dxa"/>
            <w:tcBorders>
              <w:top w:val="single" w:sz="4" w:space="0" w:color="auto"/>
              <w:left w:val="single" w:sz="4" w:space="0" w:color="auto"/>
              <w:bottom w:val="single" w:sz="4" w:space="0" w:color="auto"/>
              <w:right w:val="single" w:sz="4" w:space="0" w:color="auto"/>
            </w:tcBorders>
            <w:noWrap/>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92,065</w:t>
            </w:r>
          </w:p>
        </w:tc>
        <w:tc>
          <w:tcPr>
            <w:tcW w:w="1101" w:type="dxa"/>
            <w:tcBorders>
              <w:top w:val="single" w:sz="4" w:space="0" w:color="auto"/>
              <w:left w:val="single" w:sz="4" w:space="0" w:color="auto"/>
              <w:bottom w:val="single" w:sz="4" w:space="0" w:color="auto"/>
              <w:right w:val="single" w:sz="4" w:space="0" w:color="auto"/>
            </w:tcBorders>
            <w:noWrap/>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81</w:t>
            </w:r>
            <w:r w:rsidR="00F82E3B">
              <w:rPr>
                <w:sz w:val="18"/>
                <w:szCs w:val="18"/>
              </w:rPr>
              <w:t>,</w:t>
            </w:r>
            <w:r w:rsidRPr="00F82E3B">
              <w:rPr>
                <w:sz w:val="18"/>
                <w:szCs w:val="18"/>
              </w:rPr>
              <w:t>269</w:t>
            </w:r>
          </w:p>
        </w:tc>
        <w:tc>
          <w:tcPr>
            <w:tcW w:w="1069" w:type="dxa"/>
            <w:tcBorders>
              <w:top w:val="single" w:sz="4" w:space="0" w:color="auto"/>
              <w:left w:val="single" w:sz="4" w:space="0" w:color="auto"/>
              <w:bottom w:val="single" w:sz="4" w:space="0" w:color="auto"/>
              <w:right w:val="single" w:sz="4" w:space="0" w:color="auto"/>
            </w:tcBorders>
            <w:noWrap/>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2</w:t>
            </w:r>
            <w:r w:rsidR="00F82E3B">
              <w:rPr>
                <w:sz w:val="18"/>
                <w:szCs w:val="18"/>
              </w:rPr>
              <w:t>,</w:t>
            </w:r>
            <w:r w:rsidRPr="00F82E3B">
              <w:rPr>
                <w:sz w:val="18"/>
                <w:szCs w:val="18"/>
              </w:rPr>
              <w:t>632</w:t>
            </w:r>
          </w:p>
        </w:tc>
        <w:tc>
          <w:tcPr>
            <w:tcW w:w="1090" w:type="dxa"/>
            <w:tcBorders>
              <w:top w:val="single" w:sz="4" w:space="0" w:color="auto"/>
              <w:left w:val="single" w:sz="4" w:space="0" w:color="auto"/>
              <w:bottom w:val="single" w:sz="4" w:space="0" w:color="auto"/>
              <w:right w:val="single" w:sz="4" w:space="0" w:color="auto"/>
            </w:tcBorders>
            <w:noWrap/>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1</w:t>
            </w:r>
            <w:r w:rsidR="00F82E3B">
              <w:rPr>
                <w:sz w:val="18"/>
                <w:szCs w:val="18"/>
              </w:rPr>
              <w:t>,</w:t>
            </w:r>
            <w:r w:rsidRPr="00F82E3B">
              <w:rPr>
                <w:sz w:val="18"/>
                <w:szCs w:val="18"/>
              </w:rPr>
              <w:t>477</w:t>
            </w:r>
          </w:p>
        </w:tc>
        <w:tc>
          <w:tcPr>
            <w:tcW w:w="1182" w:type="dxa"/>
            <w:tcBorders>
              <w:top w:val="single" w:sz="4" w:space="0" w:color="auto"/>
              <w:left w:val="single" w:sz="4" w:space="0" w:color="auto"/>
              <w:bottom w:val="single" w:sz="4" w:space="0" w:color="auto"/>
              <w:right w:val="single" w:sz="4" w:space="0" w:color="auto"/>
            </w:tcBorders>
            <w:noWrap/>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1,82</w:t>
            </w:r>
          </w:p>
        </w:tc>
        <w:tc>
          <w:tcPr>
            <w:tcW w:w="1233" w:type="dxa"/>
            <w:tcBorders>
              <w:top w:val="single" w:sz="4" w:space="0" w:color="auto"/>
              <w:left w:val="single" w:sz="4" w:space="0" w:color="auto"/>
              <w:bottom w:val="single" w:sz="4" w:space="0" w:color="auto"/>
              <w:right w:val="single" w:sz="4" w:space="0" w:color="auto"/>
            </w:tcBorders>
            <w:noWrap/>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0,78</w:t>
            </w:r>
          </w:p>
        </w:tc>
        <w:tc>
          <w:tcPr>
            <w:tcW w:w="1423" w:type="dxa"/>
            <w:tcBorders>
              <w:top w:val="single" w:sz="4" w:space="0" w:color="auto"/>
              <w:left w:val="single" w:sz="4" w:space="0" w:color="auto"/>
              <w:bottom w:val="single" w:sz="4" w:space="0" w:color="auto"/>
              <w:right w:val="single" w:sz="4" w:space="0" w:color="auto"/>
            </w:tcBorders>
            <w:noWrap/>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88,27</w:t>
            </w:r>
          </w:p>
        </w:tc>
      </w:tr>
      <w:tr w:rsidR="00B2468C" w:rsidRPr="00F82E3B" w:rsidTr="00F82E3B">
        <w:trPr>
          <w:trHeight w:val="27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noWrap/>
            <w:hideMark/>
          </w:tcPr>
          <w:p w:rsidR="00B2468C" w:rsidRPr="00F82E3B" w:rsidRDefault="00B2468C" w:rsidP="00F82E3B">
            <w:pPr>
              <w:rPr>
                <w:b w:val="0"/>
                <w:sz w:val="18"/>
                <w:szCs w:val="18"/>
              </w:rPr>
            </w:pPr>
            <w:r w:rsidRPr="00F82E3B">
              <w:rPr>
                <w:b w:val="0"/>
                <w:sz w:val="18"/>
                <w:szCs w:val="18"/>
              </w:rPr>
              <w:t>2015</w:t>
            </w:r>
          </w:p>
        </w:tc>
        <w:tc>
          <w:tcPr>
            <w:tcW w:w="1484"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7,371,534</w:t>
            </w:r>
          </w:p>
        </w:tc>
        <w:tc>
          <w:tcPr>
            <w:tcW w:w="1351" w:type="dxa"/>
            <w:tcBorders>
              <w:top w:val="single" w:sz="4" w:space="0" w:color="auto"/>
              <w:left w:val="single" w:sz="4" w:space="0" w:color="auto"/>
              <w:bottom w:val="single" w:sz="4" w:space="0" w:color="auto"/>
              <w:right w:val="single" w:sz="4" w:space="0" w:color="auto"/>
            </w:tcBorders>
            <w:noWrap/>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179,431</w:t>
            </w:r>
          </w:p>
        </w:tc>
        <w:tc>
          <w:tcPr>
            <w:tcW w:w="1101" w:type="dxa"/>
            <w:tcBorders>
              <w:top w:val="single" w:sz="4" w:space="0" w:color="auto"/>
              <w:left w:val="single" w:sz="4" w:space="0" w:color="auto"/>
              <w:bottom w:val="single" w:sz="4" w:space="0" w:color="auto"/>
              <w:right w:val="single" w:sz="4" w:space="0" w:color="auto"/>
            </w:tcBorders>
            <w:noWrap/>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168</w:t>
            </w:r>
            <w:r w:rsidR="00F82E3B">
              <w:rPr>
                <w:sz w:val="18"/>
                <w:szCs w:val="18"/>
              </w:rPr>
              <w:t>,</w:t>
            </w:r>
            <w:r w:rsidRPr="00F82E3B">
              <w:rPr>
                <w:sz w:val="18"/>
                <w:szCs w:val="18"/>
              </w:rPr>
              <w:t>473,</w:t>
            </w:r>
          </w:p>
        </w:tc>
        <w:tc>
          <w:tcPr>
            <w:tcW w:w="1069" w:type="dxa"/>
            <w:tcBorders>
              <w:top w:val="single" w:sz="4" w:space="0" w:color="auto"/>
              <w:left w:val="single" w:sz="4" w:space="0" w:color="auto"/>
              <w:bottom w:val="single" w:sz="4" w:space="0" w:color="auto"/>
              <w:right w:val="single" w:sz="4" w:space="0" w:color="auto"/>
            </w:tcBorders>
            <w:noWrap/>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2</w:t>
            </w:r>
            <w:r w:rsidR="00F82E3B">
              <w:rPr>
                <w:sz w:val="18"/>
                <w:szCs w:val="18"/>
              </w:rPr>
              <w:t>,</w:t>
            </w:r>
            <w:r w:rsidRPr="00F82E3B">
              <w:rPr>
                <w:sz w:val="18"/>
                <w:szCs w:val="18"/>
              </w:rPr>
              <w:t>465</w:t>
            </w:r>
          </w:p>
        </w:tc>
        <w:tc>
          <w:tcPr>
            <w:tcW w:w="1090" w:type="dxa"/>
            <w:tcBorders>
              <w:top w:val="single" w:sz="4" w:space="0" w:color="auto"/>
              <w:left w:val="single" w:sz="4" w:space="0" w:color="auto"/>
              <w:bottom w:val="single" w:sz="4" w:space="0" w:color="auto"/>
              <w:right w:val="single" w:sz="4" w:space="0" w:color="auto"/>
            </w:tcBorders>
            <w:noWrap/>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1</w:t>
            </w:r>
            <w:r w:rsidR="00F82E3B">
              <w:rPr>
                <w:sz w:val="18"/>
                <w:szCs w:val="18"/>
              </w:rPr>
              <w:t>,</w:t>
            </w:r>
            <w:r w:rsidRPr="00F82E3B">
              <w:rPr>
                <w:sz w:val="18"/>
                <w:szCs w:val="18"/>
              </w:rPr>
              <w:t>558</w:t>
            </w:r>
          </w:p>
        </w:tc>
        <w:tc>
          <w:tcPr>
            <w:tcW w:w="1182" w:type="dxa"/>
            <w:tcBorders>
              <w:top w:val="single" w:sz="4" w:space="0" w:color="auto"/>
              <w:left w:val="single" w:sz="4" w:space="0" w:color="auto"/>
              <w:bottom w:val="single" w:sz="4" w:space="0" w:color="auto"/>
              <w:right w:val="single" w:sz="4" w:space="0" w:color="auto"/>
            </w:tcBorders>
            <w:noWrap/>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0,9</w:t>
            </w:r>
          </w:p>
        </w:tc>
        <w:tc>
          <w:tcPr>
            <w:tcW w:w="1233" w:type="dxa"/>
            <w:tcBorders>
              <w:top w:val="single" w:sz="4" w:space="0" w:color="auto"/>
              <w:left w:val="single" w:sz="4" w:space="0" w:color="auto"/>
              <w:bottom w:val="single" w:sz="4" w:space="0" w:color="auto"/>
              <w:right w:val="single" w:sz="4" w:space="0" w:color="auto"/>
            </w:tcBorders>
            <w:noWrap/>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2,43</w:t>
            </w:r>
          </w:p>
        </w:tc>
        <w:tc>
          <w:tcPr>
            <w:tcW w:w="1423" w:type="dxa"/>
            <w:tcBorders>
              <w:top w:val="single" w:sz="4" w:space="0" w:color="auto"/>
              <w:left w:val="single" w:sz="4" w:space="0" w:color="auto"/>
              <w:bottom w:val="single" w:sz="4" w:space="0" w:color="auto"/>
              <w:right w:val="single" w:sz="4" w:space="0" w:color="auto"/>
            </w:tcBorders>
            <w:noWrap/>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93,89</w:t>
            </w:r>
          </w:p>
        </w:tc>
      </w:tr>
      <w:tr w:rsidR="00B2468C" w:rsidRPr="00F82E3B" w:rsidTr="00F82E3B">
        <w:trPr>
          <w:trHeight w:val="34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rPr>
                <w:b w:val="0"/>
                <w:sz w:val="18"/>
                <w:szCs w:val="18"/>
              </w:rPr>
            </w:pPr>
            <w:r w:rsidRPr="00F82E3B">
              <w:rPr>
                <w:b w:val="0"/>
                <w:sz w:val="18"/>
                <w:szCs w:val="18"/>
              </w:rPr>
              <w:t>2016</w:t>
            </w:r>
          </w:p>
        </w:tc>
        <w:tc>
          <w:tcPr>
            <w:tcW w:w="1484" w:type="dxa"/>
            <w:tcBorders>
              <w:top w:val="single" w:sz="4" w:space="0" w:color="auto"/>
              <w:left w:val="single" w:sz="4" w:space="0" w:color="auto"/>
              <w:bottom w:val="single" w:sz="4" w:space="0" w:color="auto"/>
              <w:right w:val="single" w:sz="4" w:space="0" w:color="auto"/>
            </w:tcBorders>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7,366,615</w:t>
            </w:r>
          </w:p>
        </w:tc>
        <w:tc>
          <w:tcPr>
            <w:tcW w:w="1351" w:type="dxa"/>
            <w:tcBorders>
              <w:top w:val="single" w:sz="4" w:space="0" w:color="auto"/>
              <w:left w:val="single" w:sz="4" w:space="0" w:color="auto"/>
              <w:bottom w:val="single" w:sz="4" w:space="0" w:color="auto"/>
              <w:right w:val="single" w:sz="4" w:space="0" w:color="auto"/>
            </w:tcBorders>
            <w:noWrap/>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185,162</w:t>
            </w:r>
          </w:p>
        </w:tc>
        <w:tc>
          <w:tcPr>
            <w:tcW w:w="1101" w:type="dxa"/>
            <w:tcBorders>
              <w:top w:val="single" w:sz="4" w:space="0" w:color="auto"/>
              <w:left w:val="single" w:sz="4" w:space="0" w:color="auto"/>
              <w:bottom w:val="single" w:sz="4" w:space="0" w:color="auto"/>
              <w:right w:val="single" w:sz="4" w:space="0" w:color="auto"/>
            </w:tcBorders>
            <w:noWrap/>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180,856</w:t>
            </w:r>
          </w:p>
        </w:tc>
        <w:tc>
          <w:tcPr>
            <w:tcW w:w="1069" w:type="dxa"/>
            <w:tcBorders>
              <w:top w:val="single" w:sz="4" w:space="0" w:color="auto"/>
              <w:left w:val="single" w:sz="4" w:space="0" w:color="auto"/>
              <w:bottom w:val="single" w:sz="4" w:space="0" w:color="auto"/>
              <w:right w:val="single" w:sz="4" w:space="0" w:color="auto"/>
            </w:tcBorders>
            <w:noWrap/>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2</w:t>
            </w:r>
            <w:r w:rsidR="00F82E3B">
              <w:rPr>
                <w:sz w:val="18"/>
                <w:szCs w:val="18"/>
              </w:rPr>
              <w:t>,</w:t>
            </w:r>
            <w:r w:rsidRPr="00F82E3B">
              <w:rPr>
                <w:sz w:val="18"/>
                <w:szCs w:val="18"/>
              </w:rPr>
              <w:t>339</w:t>
            </w:r>
          </w:p>
        </w:tc>
        <w:tc>
          <w:tcPr>
            <w:tcW w:w="1090" w:type="dxa"/>
            <w:tcBorders>
              <w:top w:val="single" w:sz="4" w:space="0" w:color="auto"/>
              <w:left w:val="single" w:sz="4" w:space="0" w:color="auto"/>
              <w:bottom w:val="single" w:sz="4" w:space="0" w:color="auto"/>
              <w:right w:val="single" w:sz="4" w:space="0" w:color="auto"/>
            </w:tcBorders>
            <w:noWrap/>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1</w:t>
            </w:r>
            <w:r w:rsidR="00F82E3B">
              <w:rPr>
                <w:sz w:val="18"/>
                <w:szCs w:val="18"/>
              </w:rPr>
              <w:t>,</w:t>
            </w:r>
            <w:r w:rsidRPr="00F82E3B">
              <w:rPr>
                <w:sz w:val="18"/>
                <w:szCs w:val="18"/>
              </w:rPr>
              <w:t>461</w:t>
            </w:r>
          </w:p>
        </w:tc>
        <w:tc>
          <w:tcPr>
            <w:tcW w:w="1182" w:type="dxa"/>
            <w:tcBorders>
              <w:top w:val="single" w:sz="4" w:space="0" w:color="auto"/>
              <w:left w:val="single" w:sz="4" w:space="0" w:color="auto"/>
              <w:bottom w:val="single" w:sz="4" w:space="0" w:color="auto"/>
              <w:right w:val="single" w:sz="4" w:space="0" w:color="auto"/>
            </w:tcBorders>
            <w:noWrap/>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0,8</w:t>
            </w:r>
          </w:p>
        </w:tc>
        <w:tc>
          <w:tcPr>
            <w:tcW w:w="1233" w:type="dxa"/>
            <w:tcBorders>
              <w:top w:val="single" w:sz="4" w:space="0" w:color="auto"/>
              <w:left w:val="single" w:sz="4" w:space="0" w:color="auto"/>
              <w:bottom w:val="single" w:sz="4" w:space="0" w:color="auto"/>
              <w:right w:val="single" w:sz="4" w:space="0" w:color="auto"/>
            </w:tcBorders>
            <w:noWrap/>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2,51</w:t>
            </w:r>
          </w:p>
        </w:tc>
        <w:tc>
          <w:tcPr>
            <w:tcW w:w="1423" w:type="dxa"/>
            <w:tcBorders>
              <w:top w:val="single" w:sz="4" w:space="0" w:color="auto"/>
              <w:left w:val="single" w:sz="4" w:space="0" w:color="auto"/>
              <w:bottom w:val="single" w:sz="4" w:space="0" w:color="auto"/>
              <w:right w:val="single" w:sz="4" w:space="0" w:color="auto"/>
            </w:tcBorders>
            <w:noWrap/>
            <w:hideMark/>
          </w:tcPr>
          <w:p w:rsidR="00B2468C" w:rsidRPr="00F82E3B" w:rsidRDefault="00B2468C" w:rsidP="00F82E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98,33</w:t>
            </w:r>
          </w:p>
        </w:tc>
      </w:tr>
      <w:tr w:rsidR="00B2468C" w:rsidRPr="00F82E3B" w:rsidTr="00F82E3B">
        <w:trPr>
          <w:trHeight w:val="274"/>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nil"/>
              <w:bottom w:val="nil"/>
              <w:right w:val="nil"/>
            </w:tcBorders>
          </w:tcPr>
          <w:p w:rsidR="00B2468C" w:rsidRPr="00F82E3B" w:rsidRDefault="00B2468C" w:rsidP="00F82E3B">
            <w:pPr>
              <w:rPr>
                <w:b w:val="0"/>
                <w:sz w:val="18"/>
                <w:szCs w:val="18"/>
              </w:rPr>
            </w:pPr>
          </w:p>
        </w:tc>
        <w:tc>
          <w:tcPr>
            <w:tcW w:w="9933" w:type="dxa"/>
            <w:gridSpan w:val="8"/>
            <w:tcBorders>
              <w:top w:val="single" w:sz="4" w:space="0" w:color="auto"/>
              <w:left w:val="nil"/>
              <w:bottom w:val="nil"/>
              <w:right w:val="nil"/>
            </w:tcBorders>
          </w:tcPr>
          <w:p w:rsidR="00B2468C" w:rsidRPr="00F82E3B" w:rsidRDefault="00B2468C" w:rsidP="00F82E3B">
            <w:pPr>
              <w:cnfStyle w:val="000000000000" w:firstRow="0" w:lastRow="0" w:firstColumn="0" w:lastColumn="0" w:oddVBand="0" w:evenVBand="0" w:oddHBand="0" w:evenHBand="0" w:firstRowFirstColumn="0" w:firstRowLastColumn="0" w:lastRowFirstColumn="0" w:lastRowLastColumn="0"/>
              <w:rPr>
                <w:sz w:val="18"/>
                <w:szCs w:val="18"/>
              </w:rPr>
            </w:pPr>
            <w:r w:rsidRPr="00F82E3B">
              <w:rPr>
                <w:sz w:val="18"/>
                <w:szCs w:val="18"/>
              </w:rPr>
              <w:t>Fuente: Estadísticas Programa TB</w:t>
            </w:r>
            <w:r w:rsidR="00F82E3B" w:rsidRPr="00F82E3B">
              <w:rPr>
                <w:sz w:val="18"/>
                <w:szCs w:val="18"/>
                <w:lang w:val="es-HN"/>
              </w:rPr>
              <w:t>2013-2016</w:t>
            </w:r>
          </w:p>
        </w:tc>
      </w:tr>
    </w:tbl>
    <w:p w:rsidR="008E137D" w:rsidRDefault="008E137D">
      <w:pPr>
        <w:spacing w:before="0" w:beforeAutospacing="0" w:after="160" w:afterAutospacing="0" w:line="259" w:lineRule="auto"/>
        <w:jc w:val="left"/>
        <w:rPr>
          <w:sz w:val="20"/>
          <w:szCs w:val="20"/>
        </w:rPr>
      </w:pPr>
    </w:p>
    <w:p w:rsidR="00F82E3B" w:rsidRDefault="003F78BC" w:rsidP="00F82E3B">
      <w:pPr>
        <w:spacing w:line="240" w:lineRule="auto"/>
        <w:rPr>
          <w:rFonts w:cs="Arial"/>
        </w:rPr>
      </w:pPr>
      <w:r>
        <w:t xml:space="preserve">Los </w:t>
      </w:r>
      <w:r w:rsidR="00F82E3B" w:rsidRPr="00A91C82">
        <w:t xml:space="preserve">estudios de cohorte </w:t>
      </w:r>
      <w:r>
        <w:t>que</w:t>
      </w:r>
      <w:r w:rsidR="00F82E3B" w:rsidRPr="00A91C82">
        <w:t xml:space="preserve"> evalúa</w:t>
      </w:r>
      <w:r w:rsidR="00E12263">
        <w:t>n</w:t>
      </w:r>
      <w:r w:rsidR="00F82E3B" w:rsidRPr="00A91C82">
        <w:t xml:space="preserve"> el resultado de tratamiento, para casos nuevos</w:t>
      </w:r>
      <w:r w:rsidR="00F82E3B">
        <w:t xml:space="preserve"> bacteriológicamente confirmados</w:t>
      </w:r>
      <w:r w:rsidR="00F82E3B" w:rsidRPr="00A91C82">
        <w:t xml:space="preserve"> y</w:t>
      </w:r>
      <w:r w:rsidR="00F82E3B">
        <w:t xml:space="preserve"> los casos</w:t>
      </w:r>
      <w:r>
        <w:t xml:space="preserve"> antes tratados. E</w:t>
      </w:r>
      <w:r w:rsidR="00F82E3B" w:rsidRPr="00A91C82">
        <w:t>n 201</w:t>
      </w:r>
      <w:r w:rsidR="00F82E3B">
        <w:t>6</w:t>
      </w:r>
      <w:r w:rsidR="00F82E3B" w:rsidRPr="00A91C82">
        <w:t xml:space="preserve">, ingresaron al programa con esquema acortado </w:t>
      </w:r>
      <w:r w:rsidR="00F82E3B">
        <w:t>1,558</w:t>
      </w:r>
      <w:r w:rsidR="00F82E3B" w:rsidRPr="00A91C82">
        <w:rPr>
          <w:rStyle w:val="Refdenotaalpie"/>
        </w:rPr>
        <w:footnoteReference w:id="14"/>
      </w:r>
      <w:r w:rsidR="00F82E3B" w:rsidRPr="00A91C82">
        <w:t xml:space="preserve"> casos nuevos de TB pulmonar B</w:t>
      </w:r>
      <w:r w:rsidR="00F82E3B">
        <w:t>C</w:t>
      </w:r>
      <w:r>
        <w:t xml:space="preserve"> teniendo un É</w:t>
      </w:r>
      <w:r w:rsidR="00F82E3B" w:rsidRPr="00A91C82">
        <w:t>xito al tratamiento del 86% (1,</w:t>
      </w:r>
      <w:r w:rsidR="00F82E3B">
        <w:t>348</w:t>
      </w:r>
      <w:r w:rsidR="00F82E3B" w:rsidRPr="00A91C82">
        <w:t>) superior al dato reportado en 201</w:t>
      </w:r>
      <w:r w:rsidR="00F82E3B">
        <w:t>5 (1,238)</w:t>
      </w:r>
      <w:r>
        <w:t>, C</w:t>
      </w:r>
      <w:r w:rsidR="00F82E3B" w:rsidRPr="00A91C82">
        <w:t>urados B</w:t>
      </w:r>
      <w:r w:rsidR="00F82E3B">
        <w:t>C 81.1</w:t>
      </w:r>
      <w:r w:rsidR="00F82E3B" w:rsidRPr="00A91C82">
        <w:t>% (</w:t>
      </w:r>
      <w:r w:rsidR="00F82E3B">
        <w:t>1,264</w:t>
      </w:r>
      <w:r w:rsidR="00F82E3B" w:rsidRPr="00A91C82">
        <w:t xml:space="preserve">), </w:t>
      </w:r>
      <w:r w:rsidR="00F82E3B">
        <w:t>5.4</w:t>
      </w:r>
      <w:r w:rsidR="00F82E3B" w:rsidRPr="00A91C82">
        <w:t>% (</w:t>
      </w:r>
      <w:r w:rsidR="00F82E3B">
        <w:t>84</w:t>
      </w:r>
      <w:r>
        <w:t>) con Tratamiento C</w:t>
      </w:r>
      <w:r w:rsidR="00F82E3B" w:rsidRPr="00A91C82">
        <w:t>ompleto, se</w:t>
      </w:r>
      <w:r w:rsidR="00F82E3B">
        <w:t xml:space="preserve"> observa una reducción 2016</w:t>
      </w:r>
      <w:r w:rsidR="00F82E3B" w:rsidRPr="00A91C82">
        <w:rPr>
          <w:rFonts w:cs="Arial"/>
        </w:rPr>
        <w:t xml:space="preserve">, </w:t>
      </w:r>
      <w:r>
        <w:rPr>
          <w:rFonts w:cs="Arial"/>
        </w:rPr>
        <w:t>P</w:t>
      </w:r>
      <w:r w:rsidR="00F82E3B">
        <w:rPr>
          <w:rFonts w:cs="Arial"/>
        </w:rPr>
        <w:t>erdidos en el seguimiento 6</w:t>
      </w:r>
      <w:r w:rsidR="00F82E3B" w:rsidRPr="00A91C82">
        <w:rPr>
          <w:rFonts w:cs="Arial"/>
        </w:rPr>
        <w:t>% (98</w:t>
      </w:r>
      <w:r>
        <w:rPr>
          <w:rFonts w:cs="Arial"/>
        </w:rPr>
        <w:t>), F</w:t>
      </w:r>
      <w:r w:rsidR="00F82E3B" w:rsidRPr="00A91C82">
        <w:rPr>
          <w:rFonts w:cs="Arial"/>
        </w:rPr>
        <w:t xml:space="preserve">racasos </w:t>
      </w:r>
      <w:r w:rsidR="00F82E3B">
        <w:rPr>
          <w:rFonts w:cs="Arial"/>
        </w:rPr>
        <w:t xml:space="preserve">1.7 </w:t>
      </w:r>
      <w:r w:rsidR="00F82E3B" w:rsidRPr="00A91C82">
        <w:rPr>
          <w:rFonts w:cs="Arial"/>
        </w:rPr>
        <w:t>% (2</w:t>
      </w:r>
      <w:r w:rsidR="00F82E3B">
        <w:rPr>
          <w:rFonts w:cs="Arial"/>
        </w:rPr>
        <w:t>6</w:t>
      </w:r>
      <w:r w:rsidR="00F82E3B" w:rsidRPr="00A91C82">
        <w:rPr>
          <w:rFonts w:cs="Arial"/>
        </w:rPr>
        <w:t>)</w:t>
      </w:r>
      <w:r>
        <w:rPr>
          <w:rFonts w:cs="Arial"/>
        </w:rPr>
        <w:t>, F</w:t>
      </w:r>
      <w:r w:rsidR="00F82E3B" w:rsidRPr="00A91C82">
        <w:rPr>
          <w:rFonts w:cs="Arial"/>
        </w:rPr>
        <w:t xml:space="preserve">allecidos </w:t>
      </w:r>
      <w:r w:rsidR="00F82E3B">
        <w:rPr>
          <w:rFonts w:cs="Arial"/>
        </w:rPr>
        <w:t>4.4</w:t>
      </w:r>
      <w:r w:rsidR="00F82E3B" w:rsidRPr="00A91C82">
        <w:rPr>
          <w:rFonts w:cs="Arial"/>
        </w:rPr>
        <w:t>% (</w:t>
      </w:r>
      <w:r w:rsidR="00F82E3B">
        <w:rPr>
          <w:rFonts w:cs="Arial"/>
        </w:rPr>
        <w:t>68</w:t>
      </w:r>
      <w:r w:rsidR="00F82E3B" w:rsidRPr="00A91C82">
        <w:rPr>
          <w:rFonts w:cs="Arial"/>
        </w:rPr>
        <w:t xml:space="preserve">) y </w:t>
      </w:r>
      <w:r>
        <w:rPr>
          <w:rFonts w:cs="Arial"/>
        </w:rPr>
        <w:t>No E</w:t>
      </w:r>
      <w:r w:rsidR="00F82E3B" w:rsidRPr="00A91C82">
        <w:rPr>
          <w:rFonts w:cs="Arial"/>
        </w:rPr>
        <w:t>valuados 1</w:t>
      </w:r>
      <w:r w:rsidR="00F82E3B">
        <w:rPr>
          <w:rFonts w:cs="Arial"/>
        </w:rPr>
        <w:t>.4</w:t>
      </w:r>
      <w:r w:rsidR="00F82E3B" w:rsidRPr="00A91C82">
        <w:rPr>
          <w:rFonts w:cs="Arial"/>
        </w:rPr>
        <w:t>% (</w:t>
      </w:r>
      <w:r w:rsidR="00F82E3B">
        <w:rPr>
          <w:rFonts w:cs="Arial"/>
        </w:rPr>
        <w:t>22</w:t>
      </w:r>
      <w:r w:rsidR="00F82E3B" w:rsidRPr="00A91C82">
        <w:rPr>
          <w:rFonts w:cs="Arial"/>
        </w:rPr>
        <w:t xml:space="preserve">), </w:t>
      </w:r>
      <w:r w:rsidR="00F82E3B">
        <w:rPr>
          <w:rFonts w:cs="Arial"/>
        </w:rPr>
        <w:t xml:space="preserve">el </w:t>
      </w:r>
      <w:r w:rsidR="00F82E3B" w:rsidRPr="00A91C82">
        <w:rPr>
          <w:rFonts w:cs="Arial"/>
        </w:rPr>
        <w:t xml:space="preserve"> porcentaje</w:t>
      </w:r>
      <w:r>
        <w:rPr>
          <w:rFonts w:cs="Arial"/>
        </w:rPr>
        <w:t xml:space="preserve"> de F</w:t>
      </w:r>
      <w:r w:rsidR="00F82E3B">
        <w:rPr>
          <w:rFonts w:cs="Arial"/>
        </w:rPr>
        <w:t>allecidos se mantiene, en un</w:t>
      </w:r>
      <w:r w:rsidR="00F82E3B" w:rsidRPr="00A91C82">
        <w:rPr>
          <w:rFonts w:cs="Arial"/>
        </w:rPr>
        <w:t xml:space="preserve"> 5 % </w:t>
      </w:r>
      <w:r w:rsidR="00F82E3B">
        <w:rPr>
          <w:rFonts w:cs="Arial"/>
        </w:rPr>
        <w:t>en ambos años 2015-2016</w:t>
      </w:r>
      <w:r w:rsidR="00530812">
        <w:rPr>
          <w:rFonts w:cs="Arial"/>
        </w:rPr>
        <w:t>.</w:t>
      </w:r>
    </w:p>
    <w:p w:rsidR="00F82E3B" w:rsidRDefault="00F82E3B" w:rsidP="00F82E3B">
      <w:pPr>
        <w:spacing w:line="240" w:lineRule="auto"/>
        <w:rPr>
          <w:rFonts w:cs="Arial"/>
        </w:rPr>
      </w:pPr>
      <w:r>
        <w:rPr>
          <w:rFonts w:cs="Arial"/>
        </w:rPr>
        <w:t>La proporción de perdidos en el seguimiento mayor a la cifra nacional</w:t>
      </w:r>
      <w:r w:rsidRPr="00860E1E">
        <w:rPr>
          <w:rFonts w:cs="Arial"/>
        </w:rPr>
        <w:t>: Jinotega 18%, Masaya y Chinandega 9%, Matagalpa</w:t>
      </w:r>
      <w:r>
        <w:rPr>
          <w:rFonts w:cs="Arial"/>
        </w:rPr>
        <w:t xml:space="preserve"> y Chontales </w:t>
      </w:r>
      <w:r w:rsidRPr="00860E1E">
        <w:rPr>
          <w:rFonts w:cs="Arial"/>
        </w:rPr>
        <w:t>8%, Managua 7% y León 6%</w:t>
      </w:r>
      <w:r>
        <w:rPr>
          <w:rFonts w:cs="Arial"/>
        </w:rPr>
        <w:t>. Se requiere reforzar en el seguimiento de los pacientes en estos   SILAIS.</w:t>
      </w:r>
    </w:p>
    <w:p w:rsidR="00F82E3B" w:rsidRDefault="00F82E3B" w:rsidP="00F82E3B">
      <w:pPr>
        <w:spacing w:line="240" w:lineRule="auto"/>
        <w:rPr>
          <w:rFonts w:cs="Arial"/>
        </w:rPr>
      </w:pPr>
      <w:r w:rsidRPr="007E13D2">
        <w:rPr>
          <w:rFonts w:cs="Arial"/>
        </w:rPr>
        <w:t xml:space="preserve">Con relación a la proporción de la letalidad, el país registra un </w:t>
      </w:r>
      <w:r>
        <w:rPr>
          <w:rFonts w:cs="Arial"/>
        </w:rPr>
        <w:t>4</w:t>
      </w:r>
      <w:r w:rsidRPr="007E13D2">
        <w:rPr>
          <w:rFonts w:cs="Arial"/>
        </w:rPr>
        <w:t xml:space="preserve">% dato </w:t>
      </w:r>
      <w:r>
        <w:rPr>
          <w:rFonts w:cs="Arial"/>
        </w:rPr>
        <w:t>inferior</w:t>
      </w:r>
      <w:r w:rsidRPr="007E13D2">
        <w:rPr>
          <w:rFonts w:cs="Arial"/>
        </w:rPr>
        <w:t xml:space="preserve"> al reportado en 201</w:t>
      </w:r>
      <w:r>
        <w:rPr>
          <w:rFonts w:cs="Arial"/>
        </w:rPr>
        <w:t>5</w:t>
      </w:r>
      <w:r w:rsidRPr="007E13D2">
        <w:rPr>
          <w:rFonts w:cs="Arial"/>
        </w:rPr>
        <w:t xml:space="preserve"> (</w:t>
      </w:r>
      <w:r>
        <w:rPr>
          <w:rFonts w:cs="Arial"/>
        </w:rPr>
        <w:t>5</w:t>
      </w:r>
      <w:r w:rsidRPr="007E13D2">
        <w:rPr>
          <w:rFonts w:cs="Arial"/>
        </w:rPr>
        <w:t xml:space="preserve">.0 %) los SILAIS con cifras por arriba de la Nacional son: </w:t>
      </w:r>
      <w:r>
        <w:rPr>
          <w:rFonts w:cs="Arial"/>
        </w:rPr>
        <w:t>Nueva Segovia</w:t>
      </w:r>
      <w:r w:rsidRPr="007E13D2">
        <w:rPr>
          <w:rFonts w:cs="Arial"/>
        </w:rPr>
        <w:t>18%,</w:t>
      </w:r>
      <w:r>
        <w:rPr>
          <w:rFonts w:cs="Arial"/>
        </w:rPr>
        <w:t xml:space="preserve"> Jinotega, Estelí y Rivas el 8%, Masaya el 6%, Madriz, Managua y </w:t>
      </w:r>
      <w:r w:rsidRPr="007E13D2">
        <w:rPr>
          <w:rFonts w:cs="Arial"/>
        </w:rPr>
        <w:t>León</w:t>
      </w:r>
      <w:r>
        <w:rPr>
          <w:rFonts w:cs="Arial"/>
        </w:rPr>
        <w:t xml:space="preserve"> con el 5</w:t>
      </w:r>
      <w:r w:rsidRPr="007E13D2">
        <w:rPr>
          <w:rFonts w:cs="Arial"/>
        </w:rPr>
        <w:t>%</w:t>
      </w:r>
      <w:r>
        <w:rPr>
          <w:rFonts w:cs="Arial"/>
        </w:rPr>
        <w:t>.</w:t>
      </w:r>
    </w:p>
    <w:p w:rsidR="008E137D" w:rsidRPr="002066FE" w:rsidRDefault="00F82E3B" w:rsidP="008E137D">
      <w:pPr>
        <w:rPr>
          <w:rFonts w:cs="Arial"/>
          <w:sz w:val="16"/>
          <w:szCs w:val="16"/>
        </w:rPr>
      </w:pPr>
      <w:r>
        <w:rPr>
          <w:rFonts w:cs="Arial"/>
        </w:rPr>
        <w:br w:type="page"/>
      </w:r>
      <w:r w:rsidR="008E137D">
        <w:rPr>
          <w:rFonts w:eastAsia="Times New Roman" w:cs="Times New Roman"/>
          <w:color w:val="000000"/>
          <w:sz w:val="24"/>
          <w:szCs w:val="24"/>
        </w:rPr>
        <w:lastRenderedPageBreak/>
        <w:t xml:space="preserve">Tabla 2. </w:t>
      </w:r>
      <w:r w:rsidR="008E137D" w:rsidRPr="002066FE">
        <w:rPr>
          <w:rFonts w:eastAsia="Times New Roman" w:cs="Times New Roman"/>
          <w:color w:val="000000"/>
          <w:sz w:val="24"/>
          <w:szCs w:val="24"/>
        </w:rPr>
        <w:t xml:space="preserve">Tasa de éxito al tratamiento </w:t>
      </w:r>
      <w:r w:rsidR="00293FF7">
        <w:rPr>
          <w:rFonts w:eastAsia="Times New Roman" w:cs="Times New Roman"/>
          <w:color w:val="000000"/>
          <w:sz w:val="24"/>
          <w:szCs w:val="24"/>
        </w:rPr>
        <w:t>2013-</w:t>
      </w:r>
      <w:r w:rsidR="00E12263">
        <w:rPr>
          <w:rFonts w:eastAsia="Times New Roman" w:cs="Times New Roman"/>
          <w:color w:val="000000"/>
          <w:sz w:val="24"/>
          <w:szCs w:val="24"/>
        </w:rPr>
        <w:t>2016</w:t>
      </w:r>
    </w:p>
    <w:tbl>
      <w:tblPr>
        <w:tblStyle w:val="Tabladecuadrcula4-nfasis11"/>
        <w:tblW w:w="10538" w:type="dxa"/>
        <w:tblInd w:w="-641"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620" w:firstRow="1" w:lastRow="0" w:firstColumn="0" w:lastColumn="0" w:noHBand="1" w:noVBand="1"/>
      </w:tblPr>
      <w:tblGrid>
        <w:gridCol w:w="716"/>
        <w:gridCol w:w="856"/>
        <w:gridCol w:w="419"/>
        <w:gridCol w:w="936"/>
        <w:gridCol w:w="469"/>
        <w:gridCol w:w="621"/>
        <w:gridCol w:w="492"/>
        <w:gridCol w:w="900"/>
        <w:gridCol w:w="412"/>
        <w:gridCol w:w="769"/>
        <w:gridCol w:w="412"/>
        <w:gridCol w:w="1069"/>
        <w:gridCol w:w="412"/>
        <w:gridCol w:w="776"/>
        <w:gridCol w:w="469"/>
        <w:gridCol w:w="810"/>
      </w:tblGrid>
      <w:tr w:rsidR="008E137D" w:rsidRPr="002066FE" w:rsidTr="002062DD">
        <w:trPr>
          <w:cnfStyle w:val="100000000000" w:firstRow="1" w:lastRow="0" w:firstColumn="0" w:lastColumn="0" w:oddVBand="0" w:evenVBand="0" w:oddHBand="0" w:evenHBand="0" w:firstRowFirstColumn="0" w:firstRowLastColumn="0" w:lastRowFirstColumn="0" w:lastRowLastColumn="0"/>
          <w:trHeight w:val="490"/>
        </w:trPr>
        <w:tc>
          <w:tcPr>
            <w:tcW w:w="716" w:type="dxa"/>
            <w:hideMark/>
          </w:tcPr>
          <w:p w:rsidR="008E137D" w:rsidRPr="002E5CA8" w:rsidRDefault="008E137D" w:rsidP="002E5CA8">
            <w:pPr>
              <w:rPr>
                <w:color w:val="auto"/>
                <w:sz w:val="20"/>
                <w:szCs w:val="20"/>
                <w:lang w:val="es-HN"/>
              </w:rPr>
            </w:pPr>
            <w:r w:rsidRPr="002E5CA8">
              <w:rPr>
                <w:color w:val="auto"/>
                <w:sz w:val="20"/>
                <w:szCs w:val="20"/>
                <w:lang w:val="es-HN"/>
              </w:rPr>
              <w:t>AÑO</w:t>
            </w:r>
          </w:p>
        </w:tc>
        <w:tc>
          <w:tcPr>
            <w:tcW w:w="856" w:type="dxa"/>
            <w:hideMark/>
          </w:tcPr>
          <w:p w:rsidR="008E137D" w:rsidRPr="002066FE" w:rsidRDefault="008E137D" w:rsidP="00567235">
            <w:pPr>
              <w:jc w:val="center"/>
              <w:rPr>
                <w:rFonts w:eastAsia="Times New Roman" w:cs="Lucida Sans Unicode"/>
                <w:b w:val="0"/>
                <w:bCs w:val="0"/>
                <w:color w:val="000000"/>
                <w:sz w:val="12"/>
                <w:szCs w:val="12"/>
              </w:rPr>
            </w:pPr>
            <w:r w:rsidRPr="002066FE">
              <w:rPr>
                <w:rFonts w:eastAsia="Times New Roman" w:cs="Lucida Sans Unicode"/>
                <w:color w:val="000000"/>
                <w:sz w:val="12"/>
                <w:szCs w:val="12"/>
              </w:rPr>
              <w:t>CURADOS</w:t>
            </w:r>
          </w:p>
        </w:tc>
        <w:tc>
          <w:tcPr>
            <w:tcW w:w="419" w:type="dxa"/>
            <w:hideMark/>
          </w:tcPr>
          <w:p w:rsidR="008E137D" w:rsidRPr="002066FE" w:rsidRDefault="008E137D" w:rsidP="00567235">
            <w:pPr>
              <w:jc w:val="center"/>
              <w:rPr>
                <w:rFonts w:eastAsia="Times New Roman" w:cs="Lucida Sans Unicode"/>
                <w:b w:val="0"/>
                <w:bCs w:val="0"/>
                <w:color w:val="000000"/>
                <w:sz w:val="12"/>
                <w:szCs w:val="12"/>
              </w:rPr>
            </w:pPr>
            <w:r w:rsidRPr="002066FE">
              <w:rPr>
                <w:rFonts w:eastAsia="Times New Roman" w:cs="Lucida Sans Unicode"/>
                <w:color w:val="000000"/>
                <w:sz w:val="12"/>
                <w:szCs w:val="12"/>
              </w:rPr>
              <w:t>%</w:t>
            </w:r>
          </w:p>
        </w:tc>
        <w:tc>
          <w:tcPr>
            <w:tcW w:w="936" w:type="dxa"/>
            <w:hideMark/>
          </w:tcPr>
          <w:p w:rsidR="008E137D" w:rsidRPr="002066FE" w:rsidRDefault="008E137D" w:rsidP="00567235">
            <w:pPr>
              <w:jc w:val="center"/>
              <w:rPr>
                <w:rFonts w:eastAsia="Times New Roman" w:cs="Lucida Sans Unicode"/>
                <w:b w:val="0"/>
                <w:bCs w:val="0"/>
                <w:color w:val="000000"/>
                <w:sz w:val="12"/>
                <w:szCs w:val="12"/>
              </w:rPr>
            </w:pPr>
            <w:r w:rsidRPr="002066FE">
              <w:rPr>
                <w:rFonts w:eastAsia="Times New Roman" w:cs="Lucida Sans Unicode"/>
                <w:color w:val="000000"/>
                <w:sz w:val="12"/>
                <w:szCs w:val="12"/>
              </w:rPr>
              <w:t>Tratamiento Completo</w:t>
            </w:r>
          </w:p>
        </w:tc>
        <w:tc>
          <w:tcPr>
            <w:tcW w:w="469" w:type="dxa"/>
            <w:hideMark/>
          </w:tcPr>
          <w:p w:rsidR="008E137D" w:rsidRPr="002066FE" w:rsidRDefault="008E137D" w:rsidP="00567235">
            <w:pPr>
              <w:jc w:val="center"/>
              <w:rPr>
                <w:rFonts w:eastAsia="Times New Roman" w:cs="Lucida Sans Unicode"/>
                <w:b w:val="0"/>
                <w:bCs w:val="0"/>
                <w:color w:val="000000"/>
                <w:sz w:val="12"/>
                <w:szCs w:val="12"/>
              </w:rPr>
            </w:pPr>
            <w:r w:rsidRPr="002066FE">
              <w:rPr>
                <w:rFonts w:eastAsia="Times New Roman" w:cs="Lucida Sans Unicode"/>
                <w:color w:val="000000"/>
                <w:sz w:val="12"/>
                <w:szCs w:val="12"/>
              </w:rPr>
              <w:t>%</w:t>
            </w:r>
          </w:p>
        </w:tc>
        <w:tc>
          <w:tcPr>
            <w:tcW w:w="621" w:type="dxa"/>
            <w:hideMark/>
          </w:tcPr>
          <w:p w:rsidR="008E137D" w:rsidRPr="002066FE" w:rsidRDefault="008E137D" w:rsidP="00567235">
            <w:pPr>
              <w:jc w:val="center"/>
              <w:rPr>
                <w:rFonts w:eastAsia="Times New Roman" w:cs="Lucida Sans Unicode"/>
                <w:b w:val="0"/>
                <w:bCs w:val="0"/>
                <w:color w:val="000000"/>
                <w:sz w:val="12"/>
                <w:szCs w:val="12"/>
              </w:rPr>
            </w:pPr>
            <w:r w:rsidRPr="002066FE">
              <w:rPr>
                <w:rFonts w:eastAsia="Times New Roman" w:cs="Lucida Sans Unicode"/>
                <w:color w:val="000000"/>
                <w:sz w:val="12"/>
                <w:szCs w:val="12"/>
              </w:rPr>
              <w:t>Éxito</w:t>
            </w:r>
          </w:p>
        </w:tc>
        <w:tc>
          <w:tcPr>
            <w:tcW w:w="492" w:type="dxa"/>
            <w:hideMark/>
          </w:tcPr>
          <w:p w:rsidR="008E137D" w:rsidRPr="002066FE" w:rsidRDefault="008E137D" w:rsidP="00567235">
            <w:pPr>
              <w:jc w:val="center"/>
              <w:rPr>
                <w:rFonts w:eastAsia="Times New Roman" w:cs="Lucida Sans Unicode"/>
                <w:b w:val="0"/>
                <w:bCs w:val="0"/>
                <w:color w:val="000000"/>
                <w:sz w:val="12"/>
                <w:szCs w:val="12"/>
              </w:rPr>
            </w:pPr>
            <w:r w:rsidRPr="002066FE">
              <w:rPr>
                <w:rFonts w:eastAsia="Times New Roman" w:cs="Lucida Sans Unicode"/>
                <w:color w:val="000000"/>
                <w:sz w:val="12"/>
                <w:szCs w:val="12"/>
              </w:rPr>
              <w:t>%</w:t>
            </w:r>
          </w:p>
        </w:tc>
        <w:tc>
          <w:tcPr>
            <w:tcW w:w="900" w:type="dxa"/>
            <w:hideMark/>
          </w:tcPr>
          <w:p w:rsidR="008E137D" w:rsidRPr="002066FE" w:rsidRDefault="008E137D" w:rsidP="00567235">
            <w:pPr>
              <w:jc w:val="center"/>
              <w:rPr>
                <w:rFonts w:eastAsia="Times New Roman" w:cs="Lucida Sans Unicode"/>
                <w:b w:val="0"/>
                <w:bCs w:val="0"/>
                <w:color w:val="000000"/>
                <w:sz w:val="12"/>
                <w:szCs w:val="12"/>
              </w:rPr>
            </w:pPr>
            <w:r w:rsidRPr="002066FE">
              <w:rPr>
                <w:rFonts w:eastAsia="Times New Roman" w:cs="Lucida Sans Unicode"/>
                <w:color w:val="000000"/>
                <w:sz w:val="12"/>
                <w:szCs w:val="12"/>
              </w:rPr>
              <w:t>FRACASOS</w:t>
            </w:r>
          </w:p>
        </w:tc>
        <w:tc>
          <w:tcPr>
            <w:tcW w:w="412" w:type="dxa"/>
            <w:hideMark/>
          </w:tcPr>
          <w:p w:rsidR="008E137D" w:rsidRPr="002066FE" w:rsidRDefault="008E137D" w:rsidP="00567235">
            <w:pPr>
              <w:jc w:val="center"/>
              <w:rPr>
                <w:rFonts w:eastAsia="Times New Roman" w:cs="Lucida Sans Unicode"/>
                <w:b w:val="0"/>
                <w:bCs w:val="0"/>
                <w:color w:val="000000"/>
                <w:sz w:val="12"/>
                <w:szCs w:val="12"/>
              </w:rPr>
            </w:pPr>
            <w:r w:rsidRPr="002066FE">
              <w:rPr>
                <w:rFonts w:eastAsia="Times New Roman" w:cs="Lucida Sans Unicode"/>
                <w:color w:val="000000"/>
                <w:sz w:val="12"/>
                <w:szCs w:val="12"/>
              </w:rPr>
              <w:t>%</w:t>
            </w:r>
          </w:p>
        </w:tc>
        <w:tc>
          <w:tcPr>
            <w:tcW w:w="769" w:type="dxa"/>
            <w:hideMark/>
          </w:tcPr>
          <w:p w:rsidR="008E137D" w:rsidRPr="002066FE" w:rsidRDefault="008E137D" w:rsidP="00567235">
            <w:pPr>
              <w:jc w:val="center"/>
              <w:rPr>
                <w:rFonts w:eastAsia="Times New Roman" w:cs="Lucida Sans Unicode"/>
                <w:b w:val="0"/>
                <w:bCs w:val="0"/>
                <w:color w:val="000000"/>
                <w:sz w:val="12"/>
                <w:szCs w:val="12"/>
              </w:rPr>
            </w:pPr>
            <w:r w:rsidRPr="002066FE">
              <w:rPr>
                <w:rFonts w:eastAsia="Times New Roman" w:cs="Lucida Sans Unicode"/>
                <w:color w:val="000000"/>
                <w:sz w:val="12"/>
                <w:szCs w:val="12"/>
              </w:rPr>
              <w:t>Fallecidos</w:t>
            </w:r>
          </w:p>
        </w:tc>
        <w:tc>
          <w:tcPr>
            <w:tcW w:w="412" w:type="dxa"/>
            <w:hideMark/>
          </w:tcPr>
          <w:p w:rsidR="008E137D" w:rsidRPr="002066FE" w:rsidRDefault="008E137D" w:rsidP="00567235">
            <w:pPr>
              <w:jc w:val="center"/>
              <w:rPr>
                <w:rFonts w:eastAsia="Times New Roman" w:cs="Lucida Sans Unicode"/>
                <w:b w:val="0"/>
                <w:bCs w:val="0"/>
                <w:color w:val="000000"/>
                <w:sz w:val="12"/>
                <w:szCs w:val="12"/>
              </w:rPr>
            </w:pPr>
            <w:r w:rsidRPr="002066FE">
              <w:rPr>
                <w:rFonts w:eastAsia="Times New Roman" w:cs="Lucida Sans Unicode"/>
                <w:color w:val="000000"/>
                <w:sz w:val="12"/>
                <w:szCs w:val="12"/>
              </w:rPr>
              <w:t>%</w:t>
            </w:r>
          </w:p>
        </w:tc>
        <w:tc>
          <w:tcPr>
            <w:tcW w:w="1069" w:type="dxa"/>
            <w:hideMark/>
          </w:tcPr>
          <w:p w:rsidR="008E137D" w:rsidRPr="002066FE" w:rsidRDefault="008E137D" w:rsidP="00567235">
            <w:pPr>
              <w:jc w:val="center"/>
              <w:rPr>
                <w:rFonts w:eastAsia="Times New Roman" w:cs="Lucida Sans Unicode"/>
                <w:b w:val="0"/>
                <w:bCs w:val="0"/>
                <w:color w:val="000000"/>
                <w:sz w:val="12"/>
                <w:szCs w:val="12"/>
              </w:rPr>
            </w:pPr>
            <w:r w:rsidRPr="002066FE">
              <w:rPr>
                <w:rFonts w:eastAsia="Times New Roman" w:cs="Lucida Sans Unicode"/>
                <w:color w:val="000000"/>
                <w:sz w:val="12"/>
                <w:szCs w:val="12"/>
              </w:rPr>
              <w:t>ABANDONOS</w:t>
            </w:r>
          </w:p>
        </w:tc>
        <w:tc>
          <w:tcPr>
            <w:tcW w:w="412" w:type="dxa"/>
            <w:hideMark/>
          </w:tcPr>
          <w:p w:rsidR="008E137D" w:rsidRPr="002066FE" w:rsidRDefault="008E137D" w:rsidP="00567235">
            <w:pPr>
              <w:jc w:val="center"/>
              <w:rPr>
                <w:rFonts w:eastAsia="Times New Roman" w:cs="Lucida Sans Unicode"/>
                <w:b w:val="0"/>
                <w:bCs w:val="0"/>
                <w:color w:val="000000"/>
                <w:sz w:val="12"/>
                <w:szCs w:val="12"/>
              </w:rPr>
            </w:pPr>
            <w:r w:rsidRPr="002066FE">
              <w:rPr>
                <w:rFonts w:eastAsia="Times New Roman" w:cs="Lucida Sans Unicode"/>
                <w:color w:val="000000"/>
                <w:sz w:val="12"/>
                <w:szCs w:val="12"/>
              </w:rPr>
              <w:t>%</w:t>
            </w:r>
          </w:p>
        </w:tc>
        <w:tc>
          <w:tcPr>
            <w:tcW w:w="776" w:type="dxa"/>
            <w:hideMark/>
          </w:tcPr>
          <w:p w:rsidR="008E137D" w:rsidRPr="002066FE" w:rsidRDefault="008E137D" w:rsidP="00567235">
            <w:pPr>
              <w:jc w:val="center"/>
              <w:rPr>
                <w:rFonts w:eastAsia="Times New Roman" w:cs="Lucida Sans Unicode"/>
                <w:b w:val="0"/>
                <w:bCs w:val="0"/>
                <w:color w:val="000000"/>
                <w:sz w:val="12"/>
                <w:szCs w:val="12"/>
              </w:rPr>
            </w:pPr>
            <w:r w:rsidRPr="002066FE">
              <w:rPr>
                <w:rFonts w:eastAsia="Times New Roman" w:cs="Lucida Sans Unicode"/>
                <w:color w:val="000000"/>
                <w:sz w:val="12"/>
                <w:szCs w:val="12"/>
              </w:rPr>
              <w:t>No Evaluados</w:t>
            </w:r>
          </w:p>
        </w:tc>
        <w:tc>
          <w:tcPr>
            <w:tcW w:w="469" w:type="dxa"/>
            <w:hideMark/>
          </w:tcPr>
          <w:p w:rsidR="008E137D" w:rsidRPr="002066FE" w:rsidRDefault="008E137D" w:rsidP="00567235">
            <w:pPr>
              <w:jc w:val="center"/>
              <w:rPr>
                <w:rFonts w:eastAsia="Times New Roman" w:cs="Lucida Sans Unicode"/>
                <w:b w:val="0"/>
                <w:bCs w:val="0"/>
                <w:color w:val="000000"/>
                <w:sz w:val="16"/>
                <w:szCs w:val="16"/>
              </w:rPr>
            </w:pPr>
            <w:r w:rsidRPr="002066FE">
              <w:rPr>
                <w:rFonts w:eastAsia="Times New Roman" w:cs="Lucida Sans Unicode"/>
                <w:color w:val="000000"/>
                <w:sz w:val="16"/>
                <w:szCs w:val="16"/>
              </w:rPr>
              <w:t>%</w:t>
            </w:r>
          </w:p>
        </w:tc>
        <w:tc>
          <w:tcPr>
            <w:tcW w:w="810" w:type="dxa"/>
            <w:hideMark/>
          </w:tcPr>
          <w:p w:rsidR="008E137D" w:rsidRPr="002066FE" w:rsidRDefault="008E137D" w:rsidP="00567235">
            <w:pPr>
              <w:jc w:val="center"/>
              <w:rPr>
                <w:rFonts w:eastAsia="Times New Roman" w:cs="Lucida Sans Unicode"/>
                <w:b w:val="0"/>
                <w:bCs w:val="0"/>
                <w:color w:val="000000"/>
                <w:sz w:val="16"/>
                <w:szCs w:val="16"/>
              </w:rPr>
            </w:pPr>
            <w:r w:rsidRPr="002066FE">
              <w:rPr>
                <w:rFonts w:eastAsia="Times New Roman" w:cs="Lucida Sans Unicode"/>
                <w:color w:val="000000"/>
                <w:sz w:val="16"/>
                <w:szCs w:val="16"/>
              </w:rPr>
              <w:t>TOTAL</w:t>
            </w:r>
          </w:p>
        </w:tc>
      </w:tr>
      <w:tr w:rsidR="008E137D" w:rsidRPr="002066FE" w:rsidTr="002062DD">
        <w:trPr>
          <w:trHeight w:val="289"/>
        </w:trPr>
        <w:tc>
          <w:tcPr>
            <w:tcW w:w="716" w:type="dxa"/>
            <w:hideMark/>
          </w:tcPr>
          <w:p w:rsidR="008E137D" w:rsidRPr="002066FE" w:rsidRDefault="008E137D" w:rsidP="00567235">
            <w:pPr>
              <w:jc w:val="center"/>
              <w:rPr>
                <w:rFonts w:eastAsia="Times New Roman" w:cs="Lucida Sans Unicode"/>
                <w:color w:val="000000"/>
                <w:sz w:val="16"/>
                <w:szCs w:val="16"/>
              </w:rPr>
            </w:pPr>
            <w:r w:rsidRPr="002066FE">
              <w:rPr>
                <w:rFonts w:eastAsia="Times New Roman" w:cs="Lucida Sans Unicode"/>
                <w:color w:val="000000"/>
                <w:sz w:val="16"/>
                <w:szCs w:val="16"/>
              </w:rPr>
              <w:t>2013</w:t>
            </w:r>
          </w:p>
        </w:tc>
        <w:tc>
          <w:tcPr>
            <w:tcW w:w="856" w:type="dxa"/>
            <w:hideMark/>
          </w:tcPr>
          <w:p w:rsidR="008E137D" w:rsidRPr="002066FE" w:rsidRDefault="008E137D" w:rsidP="00567235">
            <w:pPr>
              <w:jc w:val="center"/>
              <w:rPr>
                <w:rFonts w:eastAsia="Times New Roman" w:cs="Lucida Sans Unicode"/>
                <w:color w:val="000000"/>
                <w:sz w:val="16"/>
                <w:szCs w:val="16"/>
              </w:rPr>
            </w:pPr>
            <w:r w:rsidRPr="002066FE">
              <w:rPr>
                <w:rFonts w:eastAsia="Times New Roman" w:cs="Lucida Sans Unicode"/>
                <w:color w:val="000000"/>
                <w:sz w:val="16"/>
                <w:szCs w:val="16"/>
              </w:rPr>
              <w:t>1.152</w:t>
            </w:r>
          </w:p>
        </w:tc>
        <w:tc>
          <w:tcPr>
            <w:tcW w:w="419" w:type="dxa"/>
            <w:hideMark/>
          </w:tcPr>
          <w:p w:rsidR="008E137D" w:rsidRPr="002066FE" w:rsidRDefault="008E137D" w:rsidP="00567235">
            <w:pPr>
              <w:jc w:val="center"/>
              <w:rPr>
                <w:rFonts w:eastAsia="Times New Roman" w:cs="Lucida Sans Unicode"/>
                <w:color w:val="000000"/>
                <w:sz w:val="16"/>
                <w:szCs w:val="16"/>
              </w:rPr>
            </w:pPr>
            <w:r w:rsidRPr="002066FE">
              <w:rPr>
                <w:rFonts w:eastAsia="Times New Roman" w:cs="Lucida Sans Unicode"/>
                <w:color w:val="000000"/>
                <w:sz w:val="16"/>
                <w:szCs w:val="16"/>
              </w:rPr>
              <w:t>76</w:t>
            </w:r>
          </w:p>
        </w:tc>
        <w:tc>
          <w:tcPr>
            <w:tcW w:w="936" w:type="dxa"/>
            <w:hideMark/>
          </w:tcPr>
          <w:p w:rsidR="008E137D" w:rsidRPr="002066FE" w:rsidRDefault="008E137D" w:rsidP="00567235">
            <w:pPr>
              <w:jc w:val="center"/>
              <w:rPr>
                <w:rFonts w:eastAsia="Times New Roman" w:cs="Lucida Sans Unicode"/>
                <w:color w:val="000000"/>
                <w:sz w:val="16"/>
                <w:szCs w:val="16"/>
              </w:rPr>
            </w:pPr>
            <w:r w:rsidRPr="002066FE">
              <w:rPr>
                <w:rFonts w:eastAsia="Times New Roman" w:cs="Lucida Sans Unicode"/>
                <w:color w:val="000000"/>
                <w:sz w:val="16"/>
                <w:szCs w:val="16"/>
              </w:rPr>
              <w:t>165</w:t>
            </w:r>
          </w:p>
        </w:tc>
        <w:tc>
          <w:tcPr>
            <w:tcW w:w="469" w:type="dxa"/>
            <w:hideMark/>
          </w:tcPr>
          <w:p w:rsidR="008E137D" w:rsidRPr="002066FE" w:rsidRDefault="008E137D" w:rsidP="00567235">
            <w:pPr>
              <w:jc w:val="center"/>
              <w:rPr>
                <w:rFonts w:eastAsia="Times New Roman" w:cs="Lucida Sans Unicode"/>
                <w:color w:val="000000"/>
                <w:sz w:val="16"/>
                <w:szCs w:val="16"/>
              </w:rPr>
            </w:pPr>
            <w:r w:rsidRPr="002066FE">
              <w:rPr>
                <w:rFonts w:eastAsia="Times New Roman" w:cs="Lucida Sans Unicode"/>
                <w:color w:val="000000"/>
                <w:sz w:val="16"/>
                <w:szCs w:val="16"/>
              </w:rPr>
              <w:t>11</w:t>
            </w:r>
          </w:p>
        </w:tc>
        <w:tc>
          <w:tcPr>
            <w:tcW w:w="621" w:type="dxa"/>
            <w:hideMark/>
          </w:tcPr>
          <w:p w:rsidR="008E137D" w:rsidRPr="002066FE" w:rsidRDefault="008E137D" w:rsidP="00567235">
            <w:pPr>
              <w:jc w:val="center"/>
              <w:rPr>
                <w:rFonts w:eastAsia="Times New Roman" w:cs="Lucida Sans Unicode"/>
                <w:color w:val="000000"/>
                <w:sz w:val="16"/>
                <w:szCs w:val="16"/>
              </w:rPr>
            </w:pPr>
            <w:r w:rsidRPr="002066FE">
              <w:rPr>
                <w:rFonts w:eastAsia="Times New Roman" w:cs="Lucida Sans Unicode"/>
                <w:color w:val="000000"/>
                <w:sz w:val="16"/>
                <w:szCs w:val="16"/>
              </w:rPr>
              <w:t>1.317</w:t>
            </w:r>
          </w:p>
        </w:tc>
        <w:tc>
          <w:tcPr>
            <w:tcW w:w="492" w:type="dxa"/>
            <w:hideMark/>
          </w:tcPr>
          <w:p w:rsidR="008E137D" w:rsidRPr="002066FE" w:rsidRDefault="008E137D" w:rsidP="00567235">
            <w:pPr>
              <w:jc w:val="center"/>
              <w:rPr>
                <w:rFonts w:eastAsia="Times New Roman" w:cs="Lucida Sans Unicode"/>
                <w:color w:val="000000"/>
                <w:sz w:val="16"/>
                <w:szCs w:val="16"/>
              </w:rPr>
            </w:pPr>
            <w:r w:rsidRPr="002066FE">
              <w:rPr>
                <w:rFonts w:eastAsia="Times New Roman" w:cs="Lucida Sans Unicode"/>
                <w:color w:val="000000"/>
                <w:sz w:val="16"/>
                <w:szCs w:val="16"/>
              </w:rPr>
              <w:t>86,7</w:t>
            </w:r>
          </w:p>
        </w:tc>
        <w:tc>
          <w:tcPr>
            <w:tcW w:w="900" w:type="dxa"/>
            <w:hideMark/>
          </w:tcPr>
          <w:p w:rsidR="008E137D" w:rsidRPr="002066FE" w:rsidRDefault="008E137D" w:rsidP="00567235">
            <w:pPr>
              <w:jc w:val="center"/>
              <w:rPr>
                <w:rFonts w:eastAsia="Times New Roman" w:cs="Lucida Sans Unicode"/>
                <w:color w:val="000000"/>
                <w:sz w:val="16"/>
                <w:szCs w:val="16"/>
              </w:rPr>
            </w:pPr>
            <w:r w:rsidRPr="002066FE">
              <w:rPr>
                <w:rFonts w:eastAsia="Times New Roman" w:cs="Lucida Sans Unicode"/>
                <w:color w:val="000000"/>
                <w:sz w:val="16"/>
                <w:szCs w:val="16"/>
              </w:rPr>
              <w:t>26</w:t>
            </w:r>
          </w:p>
        </w:tc>
        <w:tc>
          <w:tcPr>
            <w:tcW w:w="412" w:type="dxa"/>
            <w:hideMark/>
          </w:tcPr>
          <w:p w:rsidR="008E137D" w:rsidRPr="002066FE" w:rsidRDefault="008E137D" w:rsidP="00567235">
            <w:pPr>
              <w:jc w:val="center"/>
              <w:rPr>
                <w:rFonts w:eastAsia="Times New Roman" w:cs="Lucida Sans Unicode"/>
                <w:color w:val="000000"/>
                <w:sz w:val="16"/>
                <w:szCs w:val="16"/>
              </w:rPr>
            </w:pPr>
            <w:r w:rsidRPr="002066FE">
              <w:rPr>
                <w:rFonts w:eastAsia="Times New Roman" w:cs="Lucida Sans Unicode"/>
                <w:color w:val="000000"/>
                <w:sz w:val="16"/>
                <w:szCs w:val="16"/>
              </w:rPr>
              <w:t>1,7</w:t>
            </w:r>
          </w:p>
        </w:tc>
        <w:tc>
          <w:tcPr>
            <w:tcW w:w="769" w:type="dxa"/>
            <w:noWrap/>
            <w:hideMark/>
          </w:tcPr>
          <w:p w:rsidR="008E137D" w:rsidRPr="002066FE" w:rsidRDefault="008E137D" w:rsidP="00567235">
            <w:pPr>
              <w:jc w:val="center"/>
              <w:rPr>
                <w:rFonts w:eastAsia="Times New Roman" w:cs="Times New Roman"/>
                <w:color w:val="000000"/>
                <w:sz w:val="16"/>
                <w:szCs w:val="16"/>
              </w:rPr>
            </w:pPr>
            <w:r w:rsidRPr="002066FE">
              <w:rPr>
                <w:rFonts w:eastAsia="Times New Roman" w:cs="Times New Roman"/>
                <w:color w:val="000000"/>
                <w:sz w:val="16"/>
                <w:szCs w:val="16"/>
              </w:rPr>
              <w:t>45</w:t>
            </w:r>
          </w:p>
        </w:tc>
        <w:tc>
          <w:tcPr>
            <w:tcW w:w="412" w:type="dxa"/>
            <w:hideMark/>
          </w:tcPr>
          <w:p w:rsidR="008E137D" w:rsidRPr="002066FE" w:rsidRDefault="008E137D" w:rsidP="00567235">
            <w:pPr>
              <w:jc w:val="center"/>
              <w:rPr>
                <w:rFonts w:eastAsia="Times New Roman" w:cs="Lucida Sans Unicode"/>
                <w:color w:val="000000"/>
                <w:sz w:val="16"/>
                <w:szCs w:val="16"/>
              </w:rPr>
            </w:pPr>
            <w:r w:rsidRPr="002066FE">
              <w:rPr>
                <w:rFonts w:eastAsia="Times New Roman" w:cs="Lucida Sans Unicode"/>
                <w:color w:val="000000"/>
                <w:sz w:val="16"/>
                <w:szCs w:val="16"/>
              </w:rPr>
              <w:t>3,0</w:t>
            </w:r>
          </w:p>
        </w:tc>
        <w:tc>
          <w:tcPr>
            <w:tcW w:w="1069" w:type="dxa"/>
            <w:hideMark/>
          </w:tcPr>
          <w:p w:rsidR="008E137D" w:rsidRPr="002066FE" w:rsidRDefault="008E137D" w:rsidP="00567235">
            <w:pPr>
              <w:jc w:val="center"/>
              <w:rPr>
                <w:rFonts w:eastAsia="Times New Roman" w:cs="Lucida Sans Unicode"/>
                <w:color w:val="000000"/>
                <w:sz w:val="16"/>
                <w:szCs w:val="16"/>
              </w:rPr>
            </w:pPr>
            <w:r w:rsidRPr="002066FE">
              <w:rPr>
                <w:rFonts w:eastAsia="Times New Roman" w:cs="Lucida Sans Unicode"/>
                <w:color w:val="000000"/>
                <w:sz w:val="16"/>
                <w:szCs w:val="16"/>
              </w:rPr>
              <w:t>102</w:t>
            </w:r>
          </w:p>
        </w:tc>
        <w:tc>
          <w:tcPr>
            <w:tcW w:w="412" w:type="dxa"/>
            <w:hideMark/>
          </w:tcPr>
          <w:p w:rsidR="008E137D" w:rsidRPr="002066FE" w:rsidRDefault="008E137D" w:rsidP="00567235">
            <w:pPr>
              <w:jc w:val="center"/>
              <w:rPr>
                <w:rFonts w:eastAsia="Times New Roman" w:cs="Lucida Sans Unicode"/>
                <w:color w:val="000000"/>
                <w:sz w:val="16"/>
                <w:szCs w:val="16"/>
              </w:rPr>
            </w:pPr>
            <w:r w:rsidRPr="002066FE">
              <w:rPr>
                <w:rFonts w:eastAsia="Times New Roman" w:cs="Lucida Sans Unicode"/>
                <w:color w:val="000000"/>
                <w:sz w:val="16"/>
                <w:szCs w:val="16"/>
              </w:rPr>
              <w:t>6,7</w:t>
            </w:r>
          </w:p>
        </w:tc>
        <w:tc>
          <w:tcPr>
            <w:tcW w:w="776" w:type="dxa"/>
            <w:hideMark/>
          </w:tcPr>
          <w:p w:rsidR="008E137D" w:rsidRPr="002066FE" w:rsidRDefault="008E137D" w:rsidP="00567235">
            <w:pPr>
              <w:jc w:val="center"/>
              <w:rPr>
                <w:rFonts w:eastAsia="Times New Roman" w:cs="Lucida Sans Unicode"/>
                <w:color w:val="000000"/>
                <w:sz w:val="16"/>
                <w:szCs w:val="16"/>
              </w:rPr>
            </w:pPr>
            <w:r w:rsidRPr="002066FE">
              <w:rPr>
                <w:rFonts w:eastAsia="Times New Roman" w:cs="Lucida Sans Unicode"/>
                <w:color w:val="000000"/>
                <w:sz w:val="16"/>
                <w:szCs w:val="16"/>
              </w:rPr>
              <w:t>29</w:t>
            </w:r>
          </w:p>
        </w:tc>
        <w:tc>
          <w:tcPr>
            <w:tcW w:w="469" w:type="dxa"/>
            <w:hideMark/>
          </w:tcPr>
          <w:p w:rsidR="008E137D" w:rsidRPr="002066FE" w:rsidRDefault="008E137D" w:rsidP="00567235">
            <w:pPr>
              <w:jc w:val="center"/>
              <w:rPr>
                <w:rFonts w:eastAsia="Times New Roman" w:cs="Lucida Sans Unicode"/>
                <w:color w:val="000000"/>
                <w:sz w:val="16"/>
                <w:szCs w:val="16"/>
              </w:rPr>
            </w:pPr>
            <w:r w:rsidRPr="002066FE">
              <w:rPr>
                <w:rFonts w:eastAsia="Times New Roman" w:cs="Lucida Sans Unicode"/>
                <w:color w:val="000000"/>
                <w:sz w:val="16"/>
                <w:szCs w:val="16"/>
              </w:rPr>
              <w:t>1,9</w:t>
            </w:r>
          </w:p>
        </w:tc>
        <w:tc>
          <w:tcPr>
            <w:tcW w:w="810" w:type="dxa"/>
            <w:hideMark/>
          </w:tcPr>
          <w:p w:rsidR="008E137D" w:rsidRPr="002066FE" w:rsidRDefault="008E137D" w:rsidP="00567235">
            <w:pPr>
              <w:jc w:val="center"/>
              <w:rPr>
                <w:rFonts w:eastAsia="Times New Roman" w:cs="Lucida Sans Unicode"/>
                <w:color w:val="000000"/>
                <w:sz w:val="16"/>
                <w:szCs w:val="16"/>
              </w:rPr>
            </w:pPr>
            <w:r w:rsidRPr="002066FE">
              <w:rPr>
                <w:rFonts w:eastAsia="Times New Roman" w:cs="Lucida Sans Unicode"/>
                <w:color w:val="000000"/>
                <w:sz w:val="16"/>
                <w:szCs w:val="16"/>
              </w:rPr>
              <w:t>1.519</w:t>
            </w:r>
          </w:p>
        </w:tc>
      </w:tr>
      <w:tr w:rsidR="008E137D" w:rsidRPr="002066FE" w:rsidTr="002062DD">
        <w:trPr>
          <w:trHeight w:val="242"/>
        </w:trPr>
        <w:tc>
          <w:tcPr>
            <w:tcW w:w="716" w:type="dxa"/>
            <w:hideMark/>
          </w:tcPr>
          <w:p w:rsidR="008E137D" w:rsidRPr="002066FE" w:rsidRDefault="008E137D" w:rsidP="00567235">
            <w:pPr>
              <w:jc w:val="center"/>
              <w:rPr>
                <w:rFonts w:eastAsia="Times New Roman" w:cs="Lucida Sans Unicode"/>
                <w:color w:val="000000"/>
                <w:sz w:val="16"/>
                <w:szCs w:val="16"/>
              </w:rPr>
            </w:pPr>
            <w:r w:rsidRPr="002066FE">
              <w:rPr>
                <w:rFonts w:eastAsia="Times New Roman" w:cs="Lucida Sans Unicode"/>
                <w:color w:val="000000"/>
                <w:sz w:val="16"/>
                <w:szCs w:val="16"/>
              </w:rPr>
              <w:t>2014</w:t>
            </w:r>
          </w:p>
        </w:tc>
        <w:tc>
          <w:tcPr>
            <w:tcW w:w="856" w:type="dxa"/>
            <w:hideMark/>
          </w:tcPr>
          <w:p w:rsidR="008E137D" w:rsidRPr="002066FE" w:rsidRDefault="008E137D" w:rsidP="00567235">
            <w:pPr>
              <w:jc w:val="center"/>
              <w:rPr>
                <w:rFonts w:eastAsia="Times New Roman" w:cs="Lucida Sans Unicode"/>
                <w:color w:val="000000"/>
                <w:sz w:val="16"/>
                <w:szCs w:val="16"/>
              </w:rPr>
            </w:pPr>
            <w:r w:rsidRPr="002066FE">
              <w:rPr>
                <w:rFonts w:eastAsia="Times New Roman" w:cs="Lucida Sans Unicode"/>
                <w:color w:val="000000"/>
                <w:sz w:val="16"/>
                <w:szCs w:val="16"/>
              </w:rPr>
              <w:t>1.079</w:t>
            </w:r>
          </w:p>
        </w:tc>
        <w:tc>
          <w:tcPr>
            <w:tcW w:w="419" w:type="dxa"/>
            <w:hideMark/>
          </w:tcPr>
          <w:p w:rsidR="008E137D" w:rsidRPr="002066FE" w:rsidRDefault="008E137D" w:rsidP="00567235">
            <w:pPr>
              <w:jc w:val="center"/>
              <w:rPr>
                <w:rFonts w:eastAsia="Times New Roman" w:cs="Lucida Sans Unicode"/>
                <w:color w:val="000000"/>
                <w:sz w:val="16"/>
                <w:szCs w:val="16"/>
              </w:rPr>
            </w:pPr>
            <w:r w:rsidRPr="002066FE">
              <w:rPr>
                <w:rFonts w:eastAsia="Times New Roman" w:cs="Lucida Sans Unicode"/>
                <w:color w:val="000000"/>
                <w:sz w:val="16"/>
                <w:szCs w:val="16"/>
              </w:rPr>
              <w:t>75</w:t>
            </w:r>
          </w:p>
        </w:tc>
        <w:tc>
          <w:tcPr>
            <w:tcW w:w="936" w:type="dxa"/>
            <w:hideMark/>
          </w:tcPr>
          <w:p w:rsidR="008E137D" w:rsidRPr="002066FE" w:rsidRDefault="008E137D" w:rsidP="00567235">
            <w:pPr>
              <w:jc w:val="center"/>
              <w:rPr>
                <w:rFonts w:eastAsia="Times New Roman" w:cs="Lucida Sans Unicode"/>
                <w:color w:val="000000"/>
                <w:sz w:val="16"/>
                <w:szCs w:val="16"/>
              </w:rPr>
            </w:pPr>
            <w:r w:rsidRPr="002066FE">
              <w:rPr>
                <w:rFonts w:eastAsia="Times New Roman" w:cs="Lucida Sans Unicode"/>
                <w:color w:val="000000"/>
                <w:sz w:val="16"/>
                <w:szCs w:val="16"/>
              </w:rPr>
              <w:t>136</w:t>
            </w:r>
          </w:p>
        </w:tc>
        <w:tc>
          <w:tcPr>
            <w:tcW w:w="469" w:type="dxa"/>
            <w:hideMark/>
          </w:tcPr>
          <w:p w:rsidR="008E137D" w:rsidRPr="002066FE" w:rsidRDefault="008E137D" w:rsidP="00567235">
            <w:pPr>
              <w:jc w:val="center"/>
              <w:rPr>
                <w:rFonts w:eastAsia="Times New Roman" w:cs="Lucida Sans Unicode"/>
                <w:color w:val="000000"/>
                <w:sz w:val="16"/>
                <w:szCs w:val="16"/>
              </w:rPr>
            </w:pPr>
            <w:r w:rsidRPr="002066FE">
              <w:rPr>
                <w:rFonts w:eastAsia="Times New Roman" w:cs="Lucida Sans Unicode"/>
                <w:color w:val="000000"/>
                <w:sz w:val="16"/>
                <w:szCs w:val="16"/>
              </w:rPr>
              <w:t>9</w:t>
            </w:r>
          </w:p>
        </w:tc>
        <w:tc>
          <w:tcPr>
            <w:tcW w:w="621" w:type="dxa"/>
            <w:hideMark/>
          </w:tcPr>
          <w:p w:rsidR="008E137D" w:rsidRPr="002066FE" w:rsidRDefault="008E137D" w:rsidP="00567235">
            <w:pPr>
              <w:jc w:val="center"/>
              <w:rPr>
                <w:rFonts w:eastAsia="Times New Roman" w:cs="Lucida Sans Unicode"/>
                <w:color w:val="000000"/>
                <w:sz w:val="16"/>
                <w:szCs w:val="16"/>
              </w:rPr>
            </w:pPr>
            <w:r w:rsidRPr="002066FE">
              <w:rPr>
                <w:rFonts w:eastAsia="Times New Roman" w:cs="Lucida Sans Unicode"/>
                <w:color w:val="000000"/>
                <w:sz w:val="16"/>
                <w:szCs w:val="16"/>
              </w:rPr>
              <w:t>1.215</w:t>
            </w:r>
          </w:p>
        </w:tc>
        <w:tc>
          <w:tcPr>
            <w:tcW w:w="492" w:type="dxa"/>
            <w:hideMark/>
          </w:tcPr>
          <w:p w:rsidR="008E137D" w:rsidRPr="002066FE" w:rsidRDefault="008E137D" w:rsidP="00567235">
            <w:pPr>
              <w:jc w:val="center"/>
              <w:rPr>
                <w:rFonts w:eastAsia="Times New Roman" w:cs="Lucida Sans Unicode"/>
                <w:color w:val="000000"/>
                <w:sz w:val="16"/>
                <w:szCs w:val="16"/>
              </w:rPr>
            </w:pPr>
            <w:r w:rsidRPr="002066FE">
              <w:rPr>
                <w:rFonts w:eastAsia="Times New Roman" w:cs="Lucida Sans Unicode"/>
                <w:color w:val="000000"/>
                <w:sz w:val="16"/>
                <w:szCs w:val="16"/>
              </w:rPr>
              <w:t>84,0</w:t>
            </w:r>
          </w:p>
        </w:tc>
        <w:tc>
          <w:tcPr>
            <w:tcW w:w="900" w:type="dxa"/>
            <w:hideMark/>
          </w:tcPr>
          <w:p w:rsidR="008E137D" w:rsidRPr="002066FE" w:rsidRDefault="008E137D" w:rsidP="00567235">
            <w:pPr>
              <w:jc w:val="center"/>
              <w:rPr>
                <w:rFonts w:eastAsia="Times New Roman" w:cs="Lucida Sans Unicode"/>
                <w:color w:val="000000"/>
                <w:sz w:val="16"/>
                <w:szCs w:val="16"/>
              </w:rPr>
            </w:pPr>
            <w:r w:rsidRPr="002066FE">
              <w:rPr>
                <w:rFonts w:eastAsia="Times New Roman" w:cs="Lucida Sans Unicode"/>
                <w:color w:val="000000"/>
                <w:sz w:val="16"/>
                <w:szCs w:val="16"/>
              </w:rPr>
              <w:t>34</w:t>
            </w:r>
          </w:p>
        </w:tc>
        <w:tc>
          <w:tcPr>
            <w:tcW w:w="412" w:type="dxa"/>
            <w:hideMark/>
          </w:tcPr>
          <w:p w:rsidR="008E137D" w:rsidRPr="002066FE" w:rsidRDefault="008E137D" w:rsidP="00567235">
            <w:pPr>
              <w:jc w:val="center"/>
              <w:rPr>
                <w:rFonts w:eastAsia="Times New Roman" w:cs="Lucida Sans Unicode"/>
                <w:color w:val="000000"/>
                <w:sz w:val="16"/>
                <w:szCs w:val="16"/>
              </w:rPr>
            </w:pPr>
            <w:r w:rsidRPr="002066FE">
              <w:rPr>
                <w:rFonts w:eastAsia="Times New Roman" w:cs="Lucida Sans Unicode"/>
                <w:color w:val="000000"/>
                <w:sz w:val="16"/>
                <w:szCs w:val="16"/>
              </w:rPr>
              <w:t>2</w:t>
            </w:r>
          </w:p>
        </w:tc>
        <w:tc>
          <w:tcPr>
            <w:tcW w:w="769" w:type="dxa"/>
            <w:hideMark/>
          </w:tcPr>
          <w:p w:rsidR="008E137D" w:rsidRPr="002066FE" w:rsidRDefault="008E137D" w:rsidP="00567235">
            <w:pPr>
              <w:jc w:val="center"/>
              <w:rPr>
                <w:rFonts w:eastAsia="Times New Roman" w:cs="Lucida Sans Unicode"/>
                <w:color w:val="000000"/>
                <w:sz w:val="16"/>
                <w:szCs w:val="16"/>
              </w:rPr>
            </w:pPr>
            <w:r w:rsidRPr="002066FE">
              <w:rPr>
                <w:rFonts w:eastAsia="Times New Roman" w:cs="Lucida Sans Unicode"/>
                <w:color w:val="000000"/>
                <w:sz w:val="16"/>
                <w:szCs w:val="16"/>
              </w:rPr>
              <w:t>47</w:t>
            </w:r>
          </w:p>
        </w:tc>
        <w:tc>
          <w:tcPr>
            <w:tcW w:w="412" w:type="dxa"/>
            <w:hideMark/>
          </w:tcPr>
          <w:p w:rsidR="008E137D" w:rsidRPr="002066FE" w:rsidRDefault="008E137D" w:rsidP="00567235">
            <w:pPr>
              <w:jc w:val="center"/>
              <w:rPr>
                <w:rFonts w:eastAsia="Times New Roman" w:cs="Lucida Sans Unicode"/>
                <w:color w:val="000000"/>
                <w:sz w:val="16"/>
                <w:szCs w:val="16"/>
              </w:rPr>
            </w:pPr>
            <w:r w:rsidRPr="002066FE">
              <w:rPr>
                <w:rFonts w:eastAsia="Times New Roman" w:cs="Lucida Sans Unicode"/>
                <w:color w:val="000000"/>
                <w:sz w:val="16"/>
                <w:szCs w:val="16"/>
              </w:rPr>
              <w:t>3,0</w:t>
            </w:r>
          </w:p>
        </w:tc>
        <w:tc>
          <w:tcPr>
            <w:tcW w:w="1069" w:type="dxa"/>
            <w:hideMark/>
          </w:tcPr>
          <w:p w:rsidR="008E137D" w:rsidRPr="002066FE" w:rsidRDefault="008E137D" w:rsidP="00567235">
            <w:pPr>
              <w:jc w:val="center"/>
              <w:rPr>
                <w:rFonts w:eastAsia="Times New Roman" w:cs="Lucida Sans Unicode"/>
                <w:color w:val="000000"/>
                <w:sz w:val="16"/>
                <w:szCs w:val="16"/>
              </w:rPr>
            </w:pPr>
            <w:r w:rsidRPr="002066FE">
              <w:rPr>
                <w:rFonts w:eastAsia="Times New Roman" w:cs="Lucida Sans Unicode"/>
                <w:color w:val="000000"/>
                <w:sz w:val="16"/>
                <w:szCs w:val="16"/>
              </w:rPr>
              <w:t>108</w:t>
            </w:r>
          </w:p>
        </w:tc>
        <w:tc>
          <w:tcPr>
            <w:tcW w:w="412" w:type="dxa"/>
            <w:hideMark/>
          </w:tcPr>
          <w:p w:rsidR="008E137D" w:rsidRPr="002066FE" w:rsidRDefault="008E137D" w:rsidP="00567235">
            <w:pPr>
              <w:jc w:val="center"/>
              <w:rPr>
                <w:rFonts w:eastAsia="Times New Roman" w:cs="Lucida Sans Unicode"/>
                <w:color w:val="000000"/>
                <w:sz w:val="16"/>
                <w:szCs w:val="16"/>
              </w:rPr>
            </w:pPr>
            <w:r w:rsidRPr="002066FE">
              <w:rPr>
                <w:rFonts w:eastAsia="Times New Roman" w:cs="Lucida Sans Unicode"/>
                <w:color w:val="000000"/>
                <w:sz w:val="16"/>
                <w:szCs w:val="16"/>
              </w:rPr>
              <w:t>8</w:t>
            </w:r>
          </w:p>
        </w:tc>
        <w:tc>
          <w:tcPr>
            <w:tcW w:w="776" w:type="dxa"/>
            <w:hideMark/>
          </w:tcPr>
          <w:p w:rsidR="008E137D" w:rsidRPr="002066FE" w:rsidRDefault="008E137D" w:rsidP="00567235">
            <w:pPr>
              <w:jc w:val="center"/>
              <w:rPr>
                <w:rFonts w:eastAsia="Times New Roman" w:cs="Lucida Sans Unicode"/>
                <w:color w:val="000000"/>
                <w:sz w:val="16"/>
                <w:szCs w:val="16"/>
              </w:rPr>
            </w:pPr>
            <w:r w:rsidRPr="002066FE">
              <w:rPr>
                <w:rFonts w:eastAsia="Times New Roman" w:cs="Lucida Sans Unicode"/>
                <w:color w:val="000000"/>
                <w:sz w:val="16"/>
                <w:szCs w:val="16"/>
              </w:rPr>
              <w:t>34</w:t>
            </w:r>
          </w:p>
        </w:tc>
        <w:tc>
          <w:tcPr>
            <w:tcW w:w="469" w:type="dxa"/>
            <w:hideMark/>
          </w:tcPr>
          <w:p w:rsidR="008E137D" w:rsidRPr="002066FE" w:rsidRDefault="008E137D" w:rsidP="00567235">
            <w:pPr>
              <w:jc w:val="center"/>
              <w:rPr>
                <w:rFonts w:eastAsia="Times New Roman" w:cs="Lucida Sans Unicode"/>
                <w:color w:val="000000"/>
                <w:sz w:val="16"/>
                <w:szCs w:val="16"/>
              </w:rPr>
            </w:pPr>
            <w:r w:rsidRPr="002066FE">
              <w:rPr>
                <w:rFonts w:eastAsia="Times New Roman" w:cs="Lucida Sans Unicode"/>
                <w:color w:val="000000"/>
                <w:sz w:val="16"/>
                <w:szCs w:val="16"/>
              </w:rPr>
              <w:t>2</w:t>
            </w:r>
          </w:p>
        </w:tc>
        <w:tc>
          <w:tcPr>
            <w:tcW w:w="810" w:type="dxa"/>
            <w:hideMark/>
          </w:tcPr>
          <w:p w:rsidR="008E137D" w:rsidRPr="002066FE" w:rsidRDefault="008E137D" w:rsidP="00567235">
            <w:pPr>
              <w:jc w:val="center"/>
              <w:rPr>
                <w:rFonts w:eastAsia="Times New Roman" w:cs="Lucida Sans Unicode"/>
                <w:color w:val="000000"/>
                <w:sz w:val="16"/>
                <w:szCs w:val="16"/>
              </w:rPr>
            </w:pPr>
            <w:r w:rsidRPr="002066FE">
              <w:rPr>
                <w:rFonts w:eastAsia="Times New Roman" w:cs="Lucida Sans Unicode"/>
                <w:color w:val="000000"/>
                <w:sz w:val="16"/>
                <w:szCs w:val="16"/>
              </w:rPr>
              <w:t>1.438</w:t>
            </w:r>
          </w:p>
        </w:tc>
      </w:tr>
      <w:tr w:rsidR="008E137D" w:rsidRPr="002066FE" w:rsidTr="002062DD">
        <w:trPr>
          <w:trHeight w:val="242"/>
        </w:trPr>
        <w:tc>
          <w:tcPr>
            <w:tcW w:w="716" w:type="dxa"/>
            <w:hideMark/>
          </w:tcPr>
          <w:p w:rsidR="008E137D" w:rsidRPr="002066FE" w:rsidRDefault="008E137D" w:rsidP="00567235">
            <w:pPr>
              <w:jc w:val="center"/>
              <w:rPr>
                <w:rFonts w:eastAsia="Times New Roman" w:cs="Lucida Sans Unicode"/>
                <w:color w:val="000000"/>
                <w:sz w:val="16"/>
                <w:szCs w:val="16"/>
              </w:rPr>
            </w:pPr>
            <w:r w:rsidRPr="002066FE">
              <w:rPr>
                <w:rFonts w:eastAsia="Times New Roman" w:cs="Lucida Sans Unicode"/>
                <w:color w:val="000000"/>
                <w:sz w:val="16"/>
                <w:szCs w:val="16"/>
              </w:rPr>
              <w:t>2015</w:t>
            </w:r>
          </w:p>
        </w:tc>
        <w:tc>
          <w:tcPr>
            <w:tcW w:w="856" w:type="dxa"/>
            <w:hideMark/>
          </w:tcPr>
          <w:p w:rsidR="008E137D" w:rsidRPr="002066FE" w:rsidRDefault="008E137D" w:rsidP="00567235">
            <w:pPr>
              <w:jc w:val="center"/>
              <w:rPr>
                <w:rFonts w:eastAsia="Times New Roman" w:cs="Lucida Sans Unicode"/>
                <w:color w:val="000000"/>
                <w:sz w:val="16"/>
                <w:szCs w:val="16"/>
              </w:rPr>
            </w:pPr>
            <w:r w:rsidRPr="002066FE">
              <w:rPr>
                <w:rFonts w:eastAsia="Times New Roman" w:cs="Lucida Sans Unicode"/>
                <w:color w:val="000000"/>
                <w:sz w:val="16"/>
                <w:szCs w:val="16"/>
              </w:rPr>
              <w:t>1.115</w:t>
            </w:r>
          </w:p>
        </w:tc>
        <w:tc>
          <w:tcPr>
            <w:tcW w:w="419" w:type="dxa"/>
            <w:hideMark/>
          </w:tcPr>
          <w:p w:rsidR="008E137D" w:rsidRPr="002066FE" w:rsidRDefault="008E137D" w:rsidP="00567235">
            <w:pPr>
              <w:jc w:val="center"/>
              <w:rPr>
                <w:rFonts w:eastAsia="Times New Roman" w:cs="Lucida Sans Unicode"/>
                <w:color w:val="000000"/>
                <w:sz w:val="16"/>
                <w:szCs w:val="16"/>
              </w:rPr>
            </w:pPr>
            <w:r w:rsidRPr="002066FE">
              <w:rPr>
                <w:rFonts w:eastAsia="Times New Roman" w:cs="Lucida Sans Unicode"/>
                <w:color w:val="000000"/>
                <w:sz w:val="16"/>
                <w:szCs w:val="16"/>
              </w:rPr>
              <w:t>77</w:t>
            </w:r>
          </w:p>
        </w:tc>
        <w:tc>
          <w:tcPr>
            <w:tcW w:w="936" w:type="dxa"/>
            <w:hideMark/>
          </w:tcPr>
          <w:p w:rsidR="008E137D" w:rsidRPr="002066FE" w:rsidRDefault="008E137D" w:rsidP="00567235">
            <w:pPr>
              <w:jc w:val="center"/>
              <w:rPr>
                <w:rFonts w:eastAsia="Times New Roman" w:cs="Lucida Sans Unicode"/>
                <w:color w:val="000000"/>
                <w:sz w:val="16"/>
                <w:szCs w:val="16"/>
              </w:rPr>
            </w:pPr>
            <w:r w:rsidRPr="002066FE">
              <w:rPr>
                <w:rFonts w:eastAsia="Times New Roman" w:cs="Lucida Sans Unicode"/>
                <w:color w:val="000000"/>
                <w:sz w:val="16"/>
                <w:szCs w:val="16"/>
              </w:rPr>
              <w:t>123</w:t>
            </w:r>
          </w:p>
        </w:tc>
        <w:tc>
          <w:tcPr>
            <w:tcW w:w="469" w:type="dxa"/>
            <w:hideMark/>
          </w:tcPr>
          <w:p w:rsidR="008E137D" w:rsidRPr="002066FE" w:rsidRDefault="008E137D" w:rsidP="00567235">
            <w:pPr>
              <w:jc w:val="center"/>
              <w:rPr>
                <w:rFonts w:eastAsia="Times New Roman" w:cs="Lucida Sans Unicode"/>
                <w:color w:val="000000"/>
                <w:sz w:val="16"/>
                <w:szCs w:val="16"/>
              </w:rPr>
            </w:pPr>
            <w:r w:rsidRPr="002066FE">
              <w:rPr>
                <w:rFonts w:eastAsia="Times New Roman" w:cs="Lucida Sans Unicode"/>
                <w:color w:val="000000"/>
                <w:sz w:val="16"/>
                <w:szCs w:val="16"/>
              </w:rPr>
              <w:t>9</w:t>
            </w:r>
          </w:p>
        </w:tc>
        <w:tc>
          <w:tcPr>
            <w:tcW w:w="621" w:type="dxa"/>
            <w:hideMark/>
          </w:tcPr>
          <w:p w:rsidR="008E137D" w:rsidRPr="002066FE" w:rsidRDefault="008E137D" w:rsidP="00567235">
            <w:pPr>
              <w:jc w:val="center"/>
              <w:rPr>
                <w:rFonts w:eastAsia="Times New Roman" w:cs="Lucida Sans Unicode"/>
                <w:color w:val="000000"/>
                <w:sz w:val="16"/>
                <w:szCs w:val="16"/>
              </w:rPr>
            </w:pPr>
            <w:r w:rsidRPr="002066FE">
              <w:rPr>
                <w:rFonts w:eastAsia="Times New Roman" w:cs="Lucida Sans Unicode"/>
                <w:color w:val="000000"/>
                <w:sz w:val="16"/>
                <w:szCs w:val="16"/>
              </w:rPr>
              <w:t>1.238</w:t>
            </w:r>
          </w:p>
        </w:tc>
        <w:tc>
          <w:tcPr>
            <w:tcW w:w="492" w:type="dxa"/>
            <w:hideMark/>
          </w:tcPr>
          <w:p w:rsidR="008E137D" w:rsidRPr="002066FE" w:rsidRDefault="008E137D" w:rsidP="00567235">
            <w:pPr>
              <w:jc w:val="center"/>
              <w:rPr>
                <w:rFonts w:eastAsia="Times New Roman" w:cs="Lucida Sans Unicode"/>
                <w:color w:val="000000"/>
                <w:sz w:val="16"/>
                <w:szCs w:val="16"/>
              </w:rPr>
            </w:pPr>
            <w:r w:rsidRPr="002066FE">
              <w:rPr>
                <w:rFonts w:eastAsia="Times New Roman" w:cs="Lucida Sans Unicode"/>
                <w:color w:val="000000"/>
                <w:sz w:val="16"/>
                <w:szCs w:val="16"/>
              </w:rPr>
              <w:t>86,0</w:t>
            </w:r>
          </w:p>
        </w:tc>
        <w:tc>
          <w:tcPr>
            <w:tcW w:w="900" w:type="dxa"/>
            <w:hideMark/>
          </w:tcPr>
          <w:p w:rsidR="008E137D" w:rsidRPr="002066FE" w:rsidRDefault="008E137D" w:rsidP="00567235">
            <w:pPr>
              <w:jc w:val="center"/>
              <w:rPr>
                <w:rFonts w:eastAsia="Times New Roman" w:cs="Lucida Sans Unicode"/>
                <w:color w:val="000000"/>
                <w:sz w:val="16"/>
                <w:szCs w:val="16"/>
              </w:rPr>
            </w:pPr>
            <w:r w:rsidRPr="002066FE">
              <w:rPr>
                <w:rFonts w:eastAsia="Times New Roman" w:cs="Lucida Sans Unicode"/>
                <w:color w:val="000000"/>
                <w:sz w:val="16"/>
                <w:szCs w:val="16"/>
              </w:rPr>
              <w:t>25</w:t>
            </w:r>
          </w:p>
        </w:tc>
        <w:tc>
          <w:tcPr>
            <w:tcW w:w="412" w:type="dxa"/>
            <w:hideMark/>
          </w:tcPr>
          <w:p w:rsidR="008E137D" w:rsidRPr="002066FE" w:rsidRDefault="008E137D" w:rsidP="00567235">
            <w:pPr>
              <w:jc w:val="center"/>
              <w:rPr>
                <w:rFonts w:eastAsia="Times New Roman" w:cs="Lucida Sans Unicode"/>
                <w:color w:val="000000"/>
                <w:sz w:val="16"/>
                <w:szCs w:val="16"/>
              </w:rPr>
            </w:pPr>
            <w:r w:rsidRPr="002066FE">
              <w:rPr>
                <w:rFonts w:eastAsia="Times New Roman" w:cs="Lucida Sans Unicode"/>
                <w:color w:val="000000"/>
                <w:sz w:val="16"/>
                <w:szCs w:val="16"/>
              </w:rPr>
              <w:t>2</w:t>
            </w:r>
          </w:p>
        </w:tc>
        <w:tc>
          <w:tcPr>
            <w:tcW w:w="769" w:type="dxa"/>
            <w:hideMark/>
          </w:tcPr>
          <w:p w:rsidR="008E137D" w:rsidRPr="002066FE" w:rsidRDefault="008E137D" w:rsidP="00567235">
            <w:pPr>
              <w:jc w:val="center"/>
              <w:rPr>
                <w:rFonts w:eastAsia="Times New Roman" w:cs="Lucida Sans Unicode"/>
                <w:color w:val="000000"/>
                <w:sz w:val="16"/>
                <w:szCs w:val="16"/>
              </w:rPr>
            </w:pPr>
            <w:r w:rsidRPr="002066FE">
              <w:rPr>
                <w:rFonts w:eastAsia="Times New Roman" w:cs="Lucida Sans Unicode"/>
                <w:color w:val="000000"/>
                <w:sz w:val="16"/>
                <w:szCs w:val="16"/>
              </w:rPr>
              <w:t>70</w:t>
            </w:r>
          </w:p>
        </w:tc>
        <w:tc>
          <w:tcPr>
            <w:tcW w:w="412" w:type="dxa"/>
            <w:hideMark/>
          </w:tcPr>
          <w:p w:rsidR="008E137D" w:rsidRPr="002066FE" w:rsidRDefault="008E137D" w:rsidP="00567235">
            <w:pPr>
              <w:jc w:val="center"/>
              <w:rPr>
                <w:rFonts w:eastAsia="Times New Roman" w:cs="Lucida Sans Unicode"/>
                <w:color w:val="000000"/>
                <w:sz w:val="16"/>
                <w:szCs w:val="16"/>
              </w:rPr>
            </w:pPr>
            <w:r w:rsidRPr="002066FE">
              <w:rPr>
                <w:rFonts w:eastAsia="Times New Roman" w:cs="Lucida Sans Unicode"/>
                <w:color w:val="000000"/>
                <w:sz w:val="16"/>
                <w:szCs w:val="16"/>
              </w:rPr>
              <w:t>5</w:t>
            </w:r>
          </w:p>
        </w:tc>
        <w:tc>
          <w:tcPr>
            <w:tcW w:w="1069" w:type="dxa"/>
            <w:hideMark/>
          </w:tcPr>
          <w:p w:rsidR="008E137D" w:rsidRPr="002066FE" w:rsidRDefault="008E137D" w:rsidP="00567235">
            <w:pPr>
              <w:jc w:val="center"/>
              <w:rPr>
                <w:rFonts w:eastAsia="Times New Roman" w:cs="Lucida Sans Unicode"/>
                <w:color w:val="000000"/>
                <w:sz w:val="16"/>
                <w:szCs w:val="16"/>
              </w:rPr>
            </w:pPr>
            <w:r w:rsidRPr="002066FE">
              <w:rPr>
                <w:rFonts w:eastAsia="Times New Roman" w:cs="Lucida Sans Unicode"/>
                <w:color w:val="000000"/>
                <w:sz w:val="16"/>
                <w:szCs w:val="16"/>
              </w:rPr>
              <w:t>98</w:t>
            </w:r>
          </w:p>
        </w:tc>
        <w:tc>
          <w:tcPr>
            <w:tcW w:w="412" w:type="dxa"/>
            <w:hideMark/>
          </w:tcPr>
          <w:p w:rsidR="008E137D" w:rsidRPr="002066FE" w:rsidRDefault="008E137D" w:rsidP="00567235">
            <w:pPr>
              <w:jc w:val="center"/>
              <w:rPr>
                <w:rFonts w:eastAsia="Times New Roman" w:cs="Lucida Sans Unicode"/>
                <w:color w:val="000000"/>
                <w:sz w:val="16"/>
                <w:szCs w:val="16"/>
              </w:rPr>
            </w:pPr>
            <w:r w:rsidRPr="002066FE">
              <w:rPr>
                <w:rFonts w:eastAsia="Times New Roman" w:cs="Lucida Sans Unicode"/>
                <w:color w:val="000000"/>
                <w:sz w:val="16"/>
                <w:szCs w:val="16"/>
              </w:rPr>
              <w:t>7</w:t>
            </w:r>
          </w:p>
        </w:tc>
        <w:tc>
          <w:tcPr>
            <w:tcW w:w="776" w:type="dxa"/>
            <w:hideMark/>
          </w:tcPr>
          <w:p w:rsidR="008E137D" w:rsidRPr="002066FE" w:rsidRDefault="008E137D" w:rsidP="00567235">
            <w:pPr>
              <w:jc w:val="center"/>
              <w:rPr>
                <w:rFonts w:eastAsia="Times New Roman" w:cs="Lucida Sans Unicode"/>
                <w:color w:val="000000"/>
                <w:sz w:val="16"/>
                <w:szCs w:val="16"/>
              </w:rPr>
            </w:pPr>
            <w:r w:rsidRPr="002066FE">
              <w:rPr>
                <w:rFonts w:eastAsia="Times New Roman" w:cs="Lucida Sans Unicode"/>
                <w:color w:val="000000"/>
                <w:sz w:val="16"/>
                <w:szCs w:val="16"/>
              </w:rPr>
              <w:t>16</w:t>
            </w:r>
          </w:p>
        </w:tc>
        <w:tc>
          <w:tcPr>
            <w:tcW w:w="469" w:type="dxa"/>
            <w:hideMark/>
          </w:tcPr>
          <w:p w:rsidR="008E137D" w:rsidRPr="002066FE" w:rsidRDefault="008E137D" w:rsidP="00567235">
            <w:pPr>
              <w:jc w:val="center"/>
              <w:rPr>
                <w:rFonts w:eastAsia="Times New Roman" w:cs="Lucida Sans Unicode"/>
                <w:color w:val="000000"/>
                <w:sz w:val="16"/>
                <w:szCs w:val="16"/>
              </w:rPr>
            </w:pPr>
            <w:r w:rsidRPr="002066FE">
              <w:rPr>
                <w:rFonts w:eastAsia="Times New Roman" w:cs="Lucida Sans Unicode"/>
                <w:color w:val="000000"/>
                <w:sz w:val="16"/>
                <w:szCs w:val="16"/>
              </w:rPr>
              <w:t>1</w:t>
            </w:r>
          </w:p>
        </w:tc>
        <w:tc>
          <w:tcPr>
            <w:tcW w:w="810" w:type="dxa"/>
            <w:hideMark/>
          </w:tcPr>
          <w:p w:rsidR="008E137D" w:rsidRPr="002066FE" w:rsidRDefault="008E137D" w:rsidP="00567235">
            <w:pPr>
              <w:jc w:val="center"/>
              <w:rPr>
                <w:rFonts w:eastAsia="Times New Roman" w:cs="Lucida Sans Unicode"/>
                <w:color w:val="000000"/>
                <w:sz w:val="16"/>
                <w:szCs w:val="16"/>
              </w:rPr>
            </w:pPr>
            <w:r w:rsidRPr="002066FE">
              <w:rPr>
                <w:rFonts w:eastAsia="Times New Roman" w:cs="Lucida Sans Unicode"/>
                <w:color w:val="000000"/>
                <w:sz w:val="16"/>
                <w:szCs w:val="16"/>
              </w:rPr>
              <w:t>1.447</w:t>
            </w:r>
          </w:p>
        </w:tc>
      </w:tr>
      <w:tr w:rsidR="002062DD" w:rsidRPr="002066FE" w:rsidTr="002062DD">
        <w:trPr>
          <w:trHeight w:val="242"/>
        </w:trPr>
        <w:tc>
          <w:tcPr>
            <w:tcW w:w="716" w:type="dxa"/>
          </w:tcPr>
          <w:p w:rsidR="002062DD" w:rsidRPr="002066FE" w:rsidRDefault="002062DD" w:rsidP="002062DD">
            <w:pPr>
              <w:jc w:val="center"/>
              <w:rPr>
                <w:rFonts w:eastAsia="Times New Roman" w:cs="Lucida Sans Unicode"/>
                <w:color w:val="000000"/>
                <w:sz w:val="16"/>
                <w:szCs w:val="16"/>
              </w:rPr>
            </w:pPr>
            <w:r>
              <w:rPr>
                <w:rFonts w:eastAsia="Times New Roman" w:cs="Lucida Sans Unicode"/>
                <w:color w:val="000000"/>
                <w:sz w:val="16"/>
                <w:szCs w:val="16"/>
              </w:rPr>
              <w:t>2016</w:t>
            </w:r>
          </w:p>
        </w:tc>
        <w:tc>
          <w:tcPr>
            <w:tcW w:w="856" w:type="dxa"/>
          </w:tcPr>
          <w:p w:rsidR="002062DD" w:rsidRPr="00292E7C" w:rsidRDefault="002062DD" w:rsidP="002062DD">
            <w:pPr>
              <w:jc w:val="center"/>
              <w:rPr>
                <w:rFonts w:ascii="Lucida Sans Unicode" w:eastAsia="Times New Roman" w:hAnsi="Lucida Sans Unicode" w:cs="Lucida Sans Unicode"/>
                <w:color w:val="000000"/>
                <w:sz w:val="16"/>
                <w:szCs w:val="16"/>
              </w:rPr>
            </w:pPr>
            <w:r w:rsidRPr="00292E7C">
              <w:rPr>
                <w:rFonts w:ascii="Lucida Sans Unicode" w:eastAsia="Times New Roman" w:hAnsi="Lucida Sans Unicode" w:cs="Lucida Sans Unicode"/>
                <w:color w:val="000000"/>
                <w:sz w:val="16"/>
                <w:szCs w:val="16"/>
              </w:rPr>
              <w:t>1,264</w:t>
            </w:r>
          </w:p>
        </w:tc>
        <w:tc>
          <w:tcPr>
            <w:tcW w:w="419" w:type="dxa"/>
          </w:tcPr>
          <w:p w:rsidR="002062DD" w:rsidRPr="00292E7C" w:rsidRDefault="002062DD" w:rsidP="002062DD">
            <w:pPr>
              <w:jc w:val="center"/>
              <w:rPr>
                <w:rFonts w:ascii="Lucida Sans Unicode" w:eastAsia="Times New Roman" w:hAnsi="Lucida Sans Unicode" w:cs="Lucida Sans Unicode"/>
                <w:color w:val="000000"/>
                <w:sz w:val="16"/>
                <w:szCs w:val="16"/>
              </w:rPr>
            </w:pPr>
            <w:r w:rsidRPr="00292E7C">
              <w:rPr>
                <w:rFonts w:ascii="Lucida Sans Unicode" w:eastAsia="Times New Roman" w:hAnsi="Lucida Sans Unicode" w:cs="Lucida Sans Unicode"/>
                <w:color w:val="000000"/>
                <w:sz w:val="16"/>
                <w:szCs w:val="16"/>
              </w:rPr>
              <w:t>81</w:t>
            </w:r>
          </w:p>
        </w:tc>
        <w:tc>
          <w:tcPr>
            <w:tcW w:w="936" w:type="dxa"/>
          </w:tcPr>
          <w:p w:rsidR="002062DD" w:rsidRPr="00292E7C" w:rsidRDefault="002062DD" w:rsidP="002062DD">
            <w:pPr>
              <w:jc w:val="center"/>
              <w:rPr>
                <w:rFonts w:ascii="Lucida Sans Unicode" w:eastAsia="Times New Roman" w:hAnsi="Lucida Sans Unicode" w:cs="Lucida Sans Unicode"/>
                <w:color w:val="000000"/>
                <w:sz w:val="16"/>
                <w:szCs w:val="16"/>
              </w:rPr>
            </w:pPr>
            <w:r w:rsidRPr="00292E7C">
              <w:rPr>
                <w:rFonts w:ascii="Lucida Sans Unicode" w:eastAsia="Times New Roman" w:hAnsi="Lucida Sans Unicode" w:cs="Lucida Sans Unicode"/>
                <w:color w:val="000000"/>
                <w:sz w:val="16"/>
                <w:szCs w:val="16"/>
              </w:rPr>
              <w:t>84</w:t>
            </w:r>
          </w:p>
        </w:tc>
        <w:tc>
          <w:tcPr>
            <w:tcW w:w="469" w:type="dxa"/>
          </w:tcPr>
          <w:p w:rsidR="002062DD" w:rsidRPr="00292E7C" w:rsidRDefault="002062DD" w:rsidP="002062DD">
            <w:pPr>
              <w:jc w:val="center"/>
              <w:rPr>
                <w:rFonts w:ascii="Lucida Sans Unicode" w:eastAsia="Times New Roman" w:hAnsi="Lucida Sans Unicode" w:cs="Lucida Sans Unicode"/>
                <w:color w:val="000000"/>
                <w:sz w:val="16"/>
                <w:szCs w:val="16"/>
              </w:rPr>
            </w:pPr>
            <w:r w:rsidRPr="00292E7C">
              <w:rPr>
                <w:rFonts w:ascii="Lucida Sans Unicode" w:eastAsia="Times New Roman" w:hAnsi="Lucida Sans Unicode" w:cs="Lucida Sans Unicode"/>
                <w:color w:val="000000"/>
                <w:sz w:val="16"/>
                <w:szCs w:val="16"/>
              </w:rPr>
              <w:t>5,4</w:t>
            </w:r>
          </w:p>
        </w:tc>
        <w:tc>
          <w:tcPr>
            <w:tcW w:w="621" w:type="dxa"/>
          </w:tcPr>
          <w:p w:rsidR="002062DD" w:rsidRPr="00292E7C" w:rsidRDefault="002062DD" w:rsidP="002062DD">
            <w:pPr>
              <w:jc w:val="center"/>
              <w:rPr>
                <w:rFonts w:ascii="Lucida Sans Unicode" w:eastAsia="Times New Roman" w:hAnsi="Lucida Sans Unicode" w:cs="Lucida Sans Unicode"/>
                <w:color w:val="000000"/>
                <w:sz w:val="16"/>
                <w:szCs w:val="16"/>
              </w:rPr>
            </w:pPr>
            <w:r w:rsidRPr="00292E7C">
              <w:rPr>
                <w:rFonts w:ascii="Lucida Sans Unicode" w:eastAsia="Times New Roman" w:hAnsi="Lucida Sans Unicode" w:cs="Lucida Sans Unicode"/>
                <w:color w:val="000000"/>
                <w:sz w:val="16"/>
                <w:szCs w:val="16"/>
              </w:rPr>
              <w:t>1348</w:t>
            </w:r>
          </w:p>
        </w:tc>
        <w:tc>
          <w:tcPr>
            <w:tcW w:w="492" w:type="dxa"/>
          </w:tcPr>
          <w:p w:rsidR="002062DD" w:rsidRPr="00292E7C" w:rsidRDefault="002062DD" w:rsidP="002062DD">
            <w:pPr>
              <w:jc w:val="center"/>
              <w:rPr>
                <w:rFonts w:ascii="Lucida Sans Unicode" w:eastAsia="Times New Roman" w:hAnsi="Lucida Sans Unicode" w:cs="Lucida Sans Unicode"/>
                <w:color w:val="000000"/>
                <w:sz w:val="16"/>
                <w:szCs w:val="16"/>
              </w:rPr>
            </w:pPr>
            <w:r w:rsidRPr="00292E7C">
              <w:rPr>
                <w:rFonts w:ascii="Lucida Sans Unicode" w:eastAsia="Times New Roman" w:hAnsi="Lucida Sans Unicode" w:cs="Lucida Sans Unicode"/>
                <w:color w:val="000000"/>
                <w:sz w:val="16"/>
                <w:szCs w:val="16"/>
              </w:rPr>
              <w:t>8</w:t>
            </w:r>
            <w:r>
              <w:rPr>
                <w:rFonts w:ascii="Lucida Sans Unicode" w:eastAsia="Times New Roman" w:hAnsi="Lucida Sans Unicode" w:cs="Lucida Sans Unicode"/>
                <w:color w:val="000000"/>
                <w:sz w:val="16"/>
                <w:szCs w:val="16"/>
              </w:rPr>
              <w:t>7</w:t>
            </w:r>
          </w:p>
        </w:tc>
        <w:tc>
          <w:tcPr>
            <w:tcW w:w="900" w:type="dxa"/>
          </w:tcPr>
          <w:p w:rsidR="002062DD" w:rsidRPr="00292E7C" w:rsidRDefault="002062DD" w:rsidP="002062DD">
            <w:pPr>
              <w:jc w:val="center"/>
              <w:rPr>
                <w:rFonts w:ascii="Lucida Sans Unicode" w:eastAsia="Times New Roman" w:hAnsi="Lucida Sans Unicode" w:cs="Lucida Sans Unicode"/>
                <w:color w:val="000000"/>
                <w:sz w:val="16"/>
                <w:szCs w:val="16"/>
              </w:rPr>
            </w:pPr>
            <w:r w:rsidRPr="00292E7C">
              <w:rPr>
                <w:rFonts w:ascii="Lucida Sans Unicode" w:eastAsia="Times New Roman" w:hAnsi="Lucida Sans Unicode" w:cs="Lucida Sans Unicode"/>
                <w:color w:val="000000"/>
                <w:sz w:val="16"/>
                <w:szCs w:val="16"/>
              </w:rPr>
              <w:t>26</w:t>
            </w:r>
          </w:p>
        </w:tc>
        <w:tc>
          <w:tcPr>
            <w:tcW w:w="412" w:type="dxa"/>
          </w:tcPr>
          <w:p w:rsidR="002062DD" w:rsidRPr="00292E7C" w:rsidRDefault="002062DD" w:rsidP="002062DD">
            <w:pPr>
              <w:jc w:val="center"/>
              <w:rPr>
                <w:rFonts w:ascii="Lucida Sans Unicode" w:eastAsia="Times New Roman" w:hAnsi="Lucida Sans Unicode" w:cs="Lucida Sans Unicode"/>
                <w:color w:val="000000"/>
                <w:sz w:val="16"/>
                <w:szCs w:val="16"/>
              </w:rPr>
            </w:pPr>
            <w:r w:rsidRPr="00292E7C">
              <w:rPr>
                <w:rFonts w:ascii="Lucida Sans Unicode" w:eastAsia="Times New Roman" w:hAnsi="Lucida Sans Unicode" w:cs="Lucida Sans Unicode"/>
                <w:color w:val="000000"/>
                <w:sz w:val="16"/>
                <w:szCs w:val="16"/>
              </w:rPr>
              <w:t>2</w:t>
            </w:r>
          </w:p>
        </w:tc>
        <w:tc>
          <w:tcPr>
            <w:tcW w:w="769" w:type="dxa"/>
          </w:tcPr>
          <w:p w:rsidR="002062DD" w:rsidRPr="00292E7C" w:rsidRDefault="002062DD" w:rsidP="002062DD">
            <w:pPr>
              <w:jc w:val="center"/>
              <w:rPr>
                <w:rFonts w:ascii="Lucida Sans Unicode" w:eastAsia="Times New Roman" w:hAnsi="Lucida Sans Unicode" w:cs="Lucida Sans Unicode"/>
                <w:color w:val="000000"/>
                <w:sz w:val="16"/>
                <w:szCs w:val="16"/>
              </w:rPr>
            </w:pPr>
            <w:r w:rsidRPr="00292E7C">
              <w:rPr>
                <w:rFonts w:ascii="Lucida Sans Unicode" w:eastAsia="Times New Roman" w:hAnsi="Lucida Sans Unicode" w:cs="Lucida Sans Unicode"/>
                <w:color w:val="000000"/>
                <w:sz w:val="16"/>
                <w:szCs w:val="16"/>
              </w:rPr>
              <w:t>68</w:t>
            </w:r>
          </w:p>
        </w:tc>
        <w:tc>
          <w:tcPr>
            <w:tcW w:w="412" w:type="dxa"/>
          </w:tcPr>
          <w:p w:rsidR="002062DD" w:rsidRPr="00292E7C" w:rsidRDefault="002062DD" w:rsidP="002062DD">
            <w:pPr>
              <w:jc w:val="center"/>
              <w:rPr>
                <w:rFonts w:ascii="Lucida Sans Unicode" w:eastAsia="Times New Roman" w:hAnsi="Lucida Sans Unicode" w:cs="Lucida Sans Unicode"/>
                <w:color w:val="000000"/>
                <w:sz w:val="16"/>
                <w:szCs w:val="16"/>
              </w:rPr>
            </w:pPr>
            <w:r>
              <w:rPr>
                <w:rFonts w:ascii="Lucida Sans Unicode" w:eastAsia="Times New Roman" w:hAnsi="Lucida Sans Unicode" w:cs="Lucida Sans Unicode"/>
                <w:color w:val="000000"/>
                <w:sz w:val="16"/>
                <w:szCs w:val="16"/>
              </w:rPr>
              <w:t>4</w:t>
            </w:r>
          </w:p>
        </w:tc>
        <w:tc>
          <w:tcPr>
            <w:tcW w:w="1069" w:type="dxa"/>
          </w:tcPr>
          <w:p w:rsidR="002062DD" w:rsidRPr="00292E7C" w:rsidRDefault="002062DD" w:rsidP="002062DD">
            <w:pPr>
              <w:jc w:val="center"/>
              <w:rPr>
                <w:rFonts w:ascii="Lucida Sans Unicode" w:eastAsia="Times New Roman" w:hAnsi="Lucida Sans Unicode" w:cs="Lucida Sans Unicode"/>
                <w:color w:val="000000"/>
                <w:sz w:val="16"/>
                <w:szCs w:val="16"/>
              </w:rPr>
            </w:pPr>
            <w:r w:rsidRPr="00292E7C">
              <w:rPr>
                <w:rFonts w:ascii="Lucida Sans Unicode" w:eastAsia="Times New Roman" w:hAnsi="Lucida Sans Unicode" w:cs="Lucida Sans Unicode"/>
                <w:color w:val="000000"/>
                <w:sz w:val="16"/>
                <w:szCs w:val="16"/>
              </w:rPr>
              <w:t>94</w:t>
            </w:r>
          </w:p>
        </w:tc>
        <w:tc>
          <w:tcPr>
            <w:tcW w:w="412" w:type="dxa"/>
          </w:tcPr>
          <w:p w:rsidR="002062DD" w:rsidRPr="00292E7C" w:rsidRDefault="002062DD" w:rsidP="002062DD">
            <w:pPr>
              <w:jc w:val="center"/>
              <w:rPr>
                <w:rFonts w:ascii="Lucida Sans Unicode" w:eastAsia="Times New Roman" w:hAnsi="Lucida Sans Unicode" w:cs="Lucida Sans Unicode"/>
                <w:color w:val="000000"/>
                <w:sz w:val="16"/>
                <w:szCs w:val="16"/>
              </w:rPr>
            </w:pPr>
            <w:r w:rsidRPr="00292E7C">
              <w:rPr>
                <w:rFonts w:ascii="Lucida Sans Unicode" w:eastAsia="Times New Roman" w:hAnsi="Lucida Sans Unicode" w:cs="Lucida Sans Unicode"/>
                <w:color w:val="000000"/>
                <w:sz w:val="16"/>
                <w:szCs w:val="16"/>
              </w:rPr>
              <w:t>6</w:t>
            </w:r>
          </w:p>
        </w:tc>
        <w:tc>
          <w:tcPr>
            <w:tcW w:w="776" w:type="dxa"/>
          </w:tcPr>
          <w:p w:rsidR="002062DD" w:rsidRPr="00292E7C" w:rsidRDefault="002062DD" w:rsidP="002062DD">
            <w:pPr>
              <w:jc w:val="center"/>
              <w:rPr>
                <w:rFonts w:ascii="Lucida Sans Unicode" w:eastAsia="Times New Roman" w:hAnsi="Lucida Sans Unicode" w:cs="Lucida Sans Unicode"/>
                <w:color w:val="000000"/>
                <w:sz w:val="16"/>
                <w:szCs w:val="16"/>
              </w:rPr>
            </w:pPr>
            <w:r w:rsidRPr="00292E7C">
              <w:rPr>
                <w:rFonts w:ascii="Lucida Sans Unicode" w:eastAsia="Times New Roman" w:hAnsi="Lucida Sans Unicode" w:cs="Lucida Sans Unicode"/>
                <w:color w:val="000000"/>
                <w:sz w:val="16"/>
                <w:szCs w:val="16"/>
              </w:rPr>
              <w:t>22</w:t>
            </w:r>
          </w:p>
        </w:tc>
        <w:tc>
          <w:tcPr>
            <w:tcW w:w="469" w:type="dxa"/>
          </w:tcPr>
          <w:p w:rsidR="002062DD" w:rsidRPr="00292E7C" w:rsidRDefault="002062DD" w:rsidP="002062DD">
            <w:pPr>
              <w:jc w:val="center"/>
              <w:rPr>
                <w:rFonts w:ascii="Lucida Sans Unicode" w:eastAsia="Times New Roman" w:hAnsi="Lucida Sans Unicode" w:cs="Lucida Sans Unicode"/>
                <w:color w:val="000000"/>
                <w:sz w:val="16"/>
                <w:szCs w:val="16"/>
              </w:rPr>
            </w:pPr>
            <w:r w:rsidRPr="00292E7C">
              <w:rPr>
                <w:rFonts w:ascii="Lucida Sans Unicode" w:eastAsia="Times New Roman" w:hAnsi="Lucida Sans Unicode" w:cs="Lucida Sans Unicode"/>
                <w:color w:val="000000"/>
                <w:sz w:val="16"/>
                <w:szCs w:val="16"/>
              </w:rPr>
              <w:t>1,1</w:t>
            </w:r>
          </w:p>
        </w:tc>
        <w:tc>
          <w:tcPr>
            <w:tcW w:w="810" w:type="dxa"/>
          </w:tcPr>
          <w:p w:rsidR="002062DD" w:rsidRPr="00292E7C" w:rsidRDefault="002062DD" w:rsidP="002062DD">
            <w:pPr>
              <w:jc w:val="center"/>
              <w:rPr>
                <w:rFonts w:ascii="Lucida Sans Unicode" w:eastAsia="Times New Roman" w:hAnsi="Lucida Sans Unicode" w:cs="Lucida Sans Unicode"/>
                <w:color w:val="000000"/>
                <w:sz w:val="16"/>
                <w:szCs w:val="16"/>
              </w:rPr>
            </w:pPr>
            <w:r w:rsidRPr="00292E7C">
              <w:rPr>
                <w:rFonts w:ascii="Lucida Sans Unicode" w:eastAsia="Times New Roman" w:hAnsi="Lucida Sans Unicode" w:cs="Lucida Sans Unicode"/>
                <w:color w:val="000000"/>
                <w:sz w:val="16"/>
                <w:szCs w:val="16"/>
              </w:rPr>
              <w:t>1558</w:t>
            </w:r>
          </w:p>
        </w:tc>
      </w:tr>
    </w:tbl>
    <w:p w:rsidR="008E137D" w:rsidRPr="001C2738" w:rsidRDefault="008E137D" w:rsidP="008E137D">
      <w:pPr>
        <w:rPr>
          <w:sz w:val="16"/>
          <w:szCs w:val="16"/>
          <w:lang w:val="es-HN"/>
        </w:rPr>
      </w:pPr>
      <w:r w:rsidRPr="001C2738">
        <w:rPr>
          <w:sz w:val="16"/>
          <w:szCs w:val="16"/>
          <w:lang w:val="es-HN"/>
        </w:rPr>
        <w:t xml:space="preserve">Fuente Estadísticas Programa de </w:t>
      </w:r>
      <w:r w:rsidR="0036265F" w:rsidRPr="001C2738">
        <w:rPr>
          <w:sz w:val="16"/>
          <w:szCs w:val="16"/>
          <w:lang w:val="es-HN"/>
        </w:rPr>
        <w:t>Tuberculosis 2013</w:t>
      </w:r>
      <w:r w:rsidR="00923F96" w:rsidRPr="001C2738">
        <w:rPr>
          <w:sz w:val="16"/>
          <w:szCs w:val="16"/>
          <w:lang w:val="es-HN"/>
        </w:rPr>
        <w:t>-2016</w:t>
      </w:r>
    </w:p>
    <w:p w:rsidR="00C228A9" w:rsidRPr="00292E7C" w:rsidRDefault="00530812" w:rsidP="00C228A9">
      <w:pPr>
        <w:spacing w:line="240" w:lineRule="auto"/>
        <w:rPr>
          <w:sz w:val="18"/>
          <w:szCs w:val="18"/>
        </w:rPr>
      </w:pPr>
      <w:r>
        <w:rPr>
          <w:rFonts w:cs="Arial"/>
        </w:rPr>
        <w:t>En 201</w:t>
      </w:r>
      <w:r w:rsidR="00C228A9" w:rsidRPr="001567BE">
        <w:rPr>
          <w:rFonts w:cs="Arial"/>
        </w:rPr>
        <w:t>6, la tasa de éxito fue de 81%, menor a las cifras reportadas en el período</w:t>
      </w:r>
      <w:r w:rsidR="00C228A9">
        <w:rPr>
          <w:rFonts w:cs="Arial"/>
        </w:rPr>
        <w:t xml:space="preserve"> 2015-2016 del 87% </w:t>
      </w:r>
      <w:r>
        <w:rPr>
          <w:rFonts w:cs="Arial"/>
        </w:rPr>
        <w:t>(Tabla No. 2</w:t>
      </w:r>
      <w:r w:rsidR="00C228A9" w:rsidRPr="006D4BC4">
        <w:rPr>
          <w:rFonts w:cs="Arial"/>
          <w:sz w:val="18"/>
          <w:szCs w:val="18"/>
        </w:rPr>
        <w:t>)</w:t>
      </w:r>
      <w:r w:rsidR="00C228A9" w:rsidRPr="001567BE">
        <w:rPr>
          <w:rFonts w:cs="Arial"/>
        </w:rPr>
        <w:t xml:space="preserve">, sin embargo, el porcentaje de tratamiento completo </w:t>
      </w:r>
      <w:r w:rsidR="00C228A9">
        <w:rPr>
          <w:rFonts w:cs="Arial"/>
        </w:rPr>
        <w:t>tiene un efecto de reducción pasando de 9% en 2014-2015 a</w:t>
      </w:r>
      <w:r>
        <w:rPr>
          <w:rFonts w:cs="Arial"/>
        </w:rPr>
        <w:t xml:space="preserve"> </w:t>
      </w:r>
      <w:r w:rsidR="00C228A9">
        <w:rPr>
          <w:rFonts w:cs="Arial"/>
        </w:rPr>
        <w:t xml:space="preserve">5.4 </w:t>
      </w:r>
      <w:r w:rsidR="00C228A9" w:rsidRPr="001567BE">
        <w:rPr>
          <w:rFonts w:cs="Arial"/>
        </w:rPr>
        <w:t>%</w:t>
      </w:r>
      <w:r w:rsidR="00C228A9">
        <w:rPr>
          <w:rFonts w:cs="Arial"/>
        </w:rPr>
        <w:t xml:space="preserve"> en 2016</w:t>
      </w:r>
      <w:r w:rsidR="00C228A9" w:rsidRPr="001567BE">
        <w:rPr>
          <w:rFonts w:cs="Arial"/>
        </w:rPr>
        <w:t>. Ú</w:t>
      </w:r>
      <w:r w:rsidR="00C228A9">
        <w:rPr>
          <w:rFonts w:cs="Arial"/>
        </w:rPr>
        <w:t>nicamente se</w:t>
      </w:r>
      <w:r w:rsidR="00C228A9" w:rsidRPr="001567BE">
        <w:rPr>
          <w:rFonts w:cs="Arial"/>
        </w:rPr>
        <w:t xml:space="preserve"> evalúala cohorte de ingresos B</w:t>
      </w:r>
      <w:r w:rsidR="00C228A9">
        <w:rPr>
          <w:rFonts w:cs="Arial"/>
        </w:rPr>
        <w:t>C</w:t>
      </w:r>
      <w:r w:rsidR="00C228A9">
        <w:rPr>
          <w:rStyle w:val="Refdenotaalpie"/>
          <w:rFonts w:cs="Arial"/>
        </w:rPr>
        <w:footnoteReference w:id="15"/>
      </w:r>
      <w:r w:rsidR="00C228A9" w:rsidRPr="001567BE">
        <w:rPr>
          <w:rFonts w:cs="Arial"/>
        </w:rPr>
        <w:t xml:space="preserve"> , el sistema de información en </w:t>
      </w:r>
      <w:r w:rsidR="00E8453A" w:rsidRPr="001567BE">
        <w:rPr>
          <w:rFonts w:cs="Arial"/>
        </w:rPr>
        <w:t>TB registra</w:t>
      </w:r>
      <w:r w:rsidR="00C228A9" w:rsidRPr="001567BE">
        <w:rPr>
          <w:rFonts w:cs="Arial"/>
        </w:rPr>
        <w:t xml:space="preserve"> el dato</w:t>
      </w:r>
      <w:r w:rsidR="00C228A9">
        <w:rPr>
          <w:rStyle w:val="Refdenotaalpie"/>
          <w:rFonts w:cs="Arial"/>
        </w:rPr>
        <w:footnoteReference w:id="16"/>
      </w:r>
      <w:r w:rsidR="00C228A9" w:rsidRPr="001567BE">
        <w:rPr>
          <w:rFonts w:cs="Arial"/>
        </w:rPr>
        <w:t xml:space="preserve">, </w:t>
      </w:r>
      <w:r w:rsidR="00C228A9">
        <w:rPr>
          <w:rFonts w:cs="Arial"/>
        </w:rPr>
        <w:t>actualmente no está disponible la información para evaluar las otras categorías de pacientes; clínicamente diagnosticados,</w:t>
      </w:r>
      <w:r w:rsidR="00C228A9" w:rsidRPr="001567BE">
        <w:rPr>
          <w:rFonts w:cs="Arial"/>
        </w:rPr>
        <w:t xml:space="preserve"> extra pulmonares</w:t>
      </w:r>
      <w:r w:rsidR="00C228A9">
        <w:rPr>
          <w:rFonts w:cs="Arial"/>
        </w:rPr>
        <w:t xml:space="preserve"> y coinfección TB/VIH</w:t>
      </w:r>
      <w:r w:rsidR="00C228A9" w:rsidRPr="001567BE">
        <w:rPr>
          <w:rFonts w:cs="Arial"/>
        </w:rPr>
        <w:t>)</w:t>
      </w:r>
      <w:r w:rsidR="00C228A9">
        <w:rPr>
          <w:rFonts w:cs="Arial"/>
        </w:rPr>
        <w:t>.</w:t>
      </w:r>
    </w:p>
    <w:p w:rsidR="00EE31A5" w:rsidRDefault="00EE31A5">
      <w:pPr>
        <w:spacing w:before="0" w:beforeAutospacing="0" w:after="160" w:afterAutospacing="0" w:line="259" w:lineRule="auto"/>
        <w:jc w:val="left"/>
        <w:rPr>
          <w:rFonts w:eastAsiaTheme="majorEastAsia" w:cstheme="majorBidi"/>
          <w:b/>
          <w:bCs/>
          <w:caps/>
          <w:sz w:val="28"/>
          <w:szCs w:val="28"/>
          <w:lang w:val="es-HN"/>
        </w:rPr>
      </w:pPr>
      <w:r>
        <w:rPr>
          <w:lang w:val="es-HN"/>
        </w:rPr>
        <w:br w:type="page"/>
      </w:r>
    </w:p>
    <w:p w:rsidR="00AB29D9" w:rsidRDefault="00AB29D9" w:rsidP="00AB29D9">
      <w:pPr>
        <w:pStyle w:val="Ttulo1"/>
        <w:rPr>
          <w:lang w:val="es-HN"/>
        </w:rPr>
      </w:pPr>
      <w:bookmarkStart w:id="11" w:name="_Toc529102106"/>
      <w:r>
        <w:rPr>
          <w:lang w:val="es-HN"/>
        </w:rPr>
        <w:lastRenderedPageBreak/>
        <w:t>RESULTADOS</w:t>
      </w:r>
      <w:bookmarkEnd w:id="11"/>
    </w:p>
    <w:p w:rsidR="00D2596C" w:rsidRDefault="00025D4F" w:rsidP="0070314F">
      <w:pPr>
        <w:rPr>
          <w:sz w:val="16"/>
          <w:szCs w:val="16"/>
          <w:lang w:val="es-HN"/>
        </w:rPr>
      </w:pPr>
      <w:r w:rsidRPr="00025D4F">
        <w:rPr>
          <w:lang w:val="es-HN"/>
        </w:rPr>
        <w:t xml:space="preserve">La </w:t>
      </w:r>
      <w:r w:rsidRPr="0070314F">
        <w:rPr>
          <w:lang w:val="es-HN"/>
        </w:rPr>
        <w:t xml:space="preserve">información </w:t>
      </w:r>
      <w:r w:rsidR="008114CA" w:rsidRPr="0070314F">
        <w:rPr>
          <w:lang w:val="es-HN"/>
        </w:rPr>
        <w:t xml:space="preserve">del gasto en Tuberculosis </w:t>
      </w:r>
      <w:r w:rsidRPr="0070314F">
        <w:rPr>
          <w:lang w:val="es-HN"/>
        </w:rPr>
        <w:t>de</w:t>
      </w:r>
      <w:r w:rsidR="007A64E3" w:rsidRPr="0070314F">
        <w:rPr>
          <w:lang w:val="es-HN"/>
        </w:rPr>
        <w:t xml:space="preserve"> </w:t>
      </w:r>
      <w:r w:rsidR="00E473FA" w:rsidRPr="0070314F">
        <w:rPr>
          <w:lang w:val="es-HN"/>
        </w:rPr>
        <w:t>l</w:t>
      </w:r>
      <w:r w:rsidR="008114CA" w:rsidRPr="0070314F">
        <w:rPr>
          <w:lang w:val="es-HN"/>
        </w:rPr>
        <w:t>os años</w:t>
      </w:r>
      <w:r w:rsidR="005B5C7D" w:rsidRPr="0070314F">
        <w:rPr>
          <w:lang w:val="es-HN"/>
        </w:rPr>
        <w:t xml:space="preserve"> 2014, </w:t>
      </w:r>
      <w:r w:rsidR="0018155D" w:rsidRPr="0070314F">
        <w:rPr>
          <w:lang w:val="es-HN"/>
        </w:rPr>
        <w:t>2015,</w:t>
      </w:r>
      <w:r w:rsidR="005B5C7D" w:rsidRPr="0070314F">
        <w:rPr>
          <w:lang w:val="es-HN"/>
        </w:rPr>
        <w:t xml:space="preserve"> 2016</w:t>
      </w:r>
      <w:r w:rsidR="0018155D" w:rsidRPr="0070314F">
        <w:rPr>
          <w:lang w:val="es-HN"/>
        </w:rPr>
        <w:t xml:space="preserve"> y 2017</w:t>
      </w:r>
      <w:r w:rsidR="007A64E3" w:rsidRPr="0070314F">
        <w:rPr>
          <w:lang w:val="es-HN"/>
        </w:rPr>
        <w:t xml:space="preserve"> </w:t>
      </w:r>
      <w:r w:rsidRPr="0070314F">
        <w:rPr>
          <w:lang w:val="es-HN"/>
        </w:rPr>
        <w:t xml:space="preserve">indica </w:t>
      </w:r>
      <w:r w:rsidR="008114CA" w:rsidRPr="0070314F">
        <w:rPr>
          <w:lang w:val="es-HN"/>
        </w:rPr>
        <w:t xml:space="preserve">que </w:t>
      </w:r>
      <w:r w:rsidRPr="0070314F">
        <w:rPr>
          <w:lang w:val="es-HN"/>
        </w:rPr>
        <w:t>el país,</w:t>
      </w:r>
      <w:r w:rsidR="007A64E3" w:rsidRPr="0070314F">
        <w:rPr>
          <w:lang w:val="es-HN"/>
        </w:rPr>
        <w:t xml:space="preserve"> </w:t>
      </w:r>
      <w:r w:rsidR="00FC4BD7" w:rsidRPr="0070314F">
        <w:rPr>
          <w:lang w:val="es-HN"/>
        </w:rPr>
        <w:t>pasó de los</w:t>
      </w:r>
      <w:r w:rsidRPr="0070314F">
        <w:rPr>
          <w:lang w:val="es-HN"/>
        </w:rPr>
        <w:t xml:space="preserve"> US$</w:t>
      </w:r>
      <w:r w:rsidR="005B5C7D" w:rsidRPr="0070314F">
        <w:rPr>
          <w:lang w:val="es-HN"/>
        </w:rPr>
        <w:t>3.5</w:t>
      </w:r>
      <w:r w:rsidR="00800F0D" w:rsidRPr="0070314F">
        <w:rPr>
          <w:lang w:val="es-HN"/>
        </w:rPr>
        <w:t>4</w:t>
      </w:r>
      <w:r w:rsidR="005B5C7D" w:rsidRPr="0070314F">
        <w:rPr>
          <w:lang w:val="es-HN"/>
        </w:rPr>
        <w:t xml:space="preserve">, </w:t>
      </w:r>
      <w:r w:rsidR="00800F0D" w:rsidRPr="0070314F">
        <w:rPr>
          <w:lang w:val="es-HN"/>
        </w:rPr>
        <w:t>US$ 4.38</w:t>
      </w:r>
      <w:r w:rsidR="0018155D" w:rsidRPr="0070314F">
        <w:rPr>
          <w:lang w:val="es-HN"/>
        </w:rPr>
        <w:t xml:space="preserve">, </w:t>
      </w:r>
      <w:r w:rsidR="00293FF7" w:rsidRPr="0070314F">
        <w:rPr>
          <w:lang w:val="es-HN"/>
        </w:rPr>
        <w:t>US$</w:t>
      </w:r>
      <w:r w:rsidR="007A64E3" w:rsidRPr="0070314F">
        <w:rPr>
          <w:lang w:val="es-HN"/>
        </w:rPr>
        <w:t>4.62 y US$5.40</w:t>
      </w:r>
      <w:r w:rsidR="0018155D" w:rsidRPr="0070314F">
        <w:rPr>
          <w:lang w:val="es-HN"/>
        </w:rPr>
        <w:t xml:space="preserve"> </w:t>
      </w:r>
      <w:r w:rsidR="0045186B" w:rsidRPr="0070314F">
        <w:rPr>
          <w:lang w:val="es-HN"/>
        </w:rPr>
        <w:t>millones</w:t>
      </w:r>
      <w:r w:rsidR="0018155D" w:rsidRPr="0070314F">
        <w:rPr>
          <w:lang w:val="es-HN"/>
        </w:rPr>
        <w:t xml:space="preserve"> de dólar</w:t>
      </w:r>
      <w:r w:rsidR="007A64E3" w:rsidRPr="0070314F">
        <w:rPr>
          <w:lang w:val="es-HN"/>
        </w:rPr>
        <w:t xml:space="preserve">es </w:t>
      </w:r>
      <w:r w:rsidR="00FC4BD7" w:rsidRPr="0070314F">
        <w:rPr>
          <w:lang w:val="es-HN"/>
        </w:rPr>
        <w:t>durante el periodo</w:t>
      </w:r>
      <w:r w:rsidR="0045186B" w:rsidRPr="0070314F">
        <w:rPr>
          <w:lang w:val="es-HN"/>
        </w:rPr>
        <w:t xml:space="preserve">, </w:t>
      </w:r>
      <w:r w:rsidR="00D2596C" w:rsidRPr="0070314F">
        <w:rPr>
          <w:lang w:val="es-HN"/>
        </w:rPr>
        <w:t xml:space="preserve">incrementándose en </w:t>
      </w:r>
      <w:r w:rsidR="00B40B25" w:rsidRPr="0070314F">
        <w:rPr>
          <w:lang w:val="es-HN"/>
        </w:rPr>
        <w:t>un 53</w:t>
      </w:r>
      <w:r w:rsidR="0036265F" w:rsidRPr="0070314F">
        <w:rPr>
          <w:lang w:val="es-HN"/>
        </w:rPr>
        <w:t>% la</w:t>
      </w:r>
      <w:r w:rsidR="0052433A" w:rsidRPr="0070314F">
        <w:rPr>
          <w:lang w:val="es-HN"/>
        </w:rPr>
        <w:t xml:space="preserve"> inversión.</w:t>
      </w:r>
      <w:r w:rsidR="0052433A">
        <w:rPr>
          <w:lang w:val="es-HN"/>
        </w:rPr>
        <w:t xml:space="preserve"> Del total de recursos invertidos en la enfermedad en el</w:t>
      </w:r>
      <w:r w:rsidR="0018155D">
        <w:rPr>
          <w:lang w:val="es-HN"/>
        </w:rPr>
        <w:t xml:space="preserve"> 2017</w:t>
      </w:r>
      <w:r w:rsidR="00530812">
        <w:rPr>
          <w:lang w:val="es-HN"/>
        </w:rPr>
        <w:t xml:space="preserve"> </w:t>
      </w:r>
      <w:r w:rsidR="0018155D">
        <w:rPr>
          <w:lang w:val="es-HN"/>
        </w:rPr>
        <w:t xml:space="preserve">el </w:t>
      </w:r>
      <w:r w:rsidR="00FC4BD7">
        <w:rPr>
          <w:lang w:val="es-HN"/>
        </w:rPr>
        <w:t>57% (US$3.0)</w:t>
      </w:r>
      <w:r w:rsidR="000B05F6">
        <w:rPr>
          <w:lang w:val="es-HN"/>
        </w:rPr>
        <w:t xml:space="preserve"> millones se financió con fondos públicos</w:t>
      </w:r>
      <w:r w:rsidR="009124F5">
        <w:rPr>
          <w:lang w:val="es-HN"/>
        </w:rPr>
        <w:t>;</w:t>
      </w:r>
      <w:r w:rsidR="000B05F6">
        <w:rPr>
          <w:lang w:val="es-HN"/>
        </w:rPr>
        <w:t xml:space="preserve"> el </w:t>
      </w:r>
      <w:r w:rsidR="00AE3C18">
        <w:rPr>
          <w:lang w:val="es-HN"/>
        </w:rPr>
        <w:t>40%</w:t>
      </w:r>
      <w:r w:rsidR="009124F5">
        <w:rPr>
          <w:lang w:val="es-HN"/>
        </w:rPr>
        <w:t xml:space="preserve"> (US$</w:t>
      </w:r>
      <w:r w:rsidR="00AE3C18">
        <w:rPr>
          <w:lang w:val="es-HN"/>
        </w:rPr>
        <w:t>2.16</w:t>
      </w:r>
      <w:r w:rsidR="009124F5">
        <w:rPr>
          <w:lang w:val="es-HN"/>
        </w:rPr>
        <w:t xml:space="preserve"> millones c</w:t>
      </w:r>
      <w:r w:rsidR="000B05F6">
        <w:rPr>
          <w:lang w:val="es-HN"/>
        </w:rPr>
        <w:t xml:space="preserve">on recursos </w:t>
      </w:r>
      <w:r w:rsidR="00530812">
        <w:rPr>
          <w:lang w:val="es-HN"/>
        </w:rPr>
        <w:t>internacionales (</w:t>
      </w:r>
      <w:r w:rsidR="000B05F6">
        <w:rPr>
          <w:lang w:val="es-HN"/>
        </w:rPr>
        <w:t xml:space="preserve">El Fondo </w:t>
      </w:r>
      <w:r w:rsidR="00530812">
        <w:rPr>
          <w:lang w:val="es-HN"/>
        </w:rPr>
        <w:t>Mundial y</w:t>
      </w:r>
      <w:r w:rsidR="000B05F6">
        <w:rPr>
          <w:lang w:val="es-HN"/>
        </w:rPr>
        <w:t xml:space="preserve"> Fundación Damián) y el </w:t>
      </w:r>
      <w:r w:rsidR="00AE3C18">
        <w:rPr>
          <w:lang w:val="es-HN"/>
        </w:rPr>
        <w:t>3</w:t>
      </w:r>
      <w:r w:rsidR="000B05F6">
        <w:rPr>
          <w:lang w:val="es-HN"/>
        </w:rPr>
        <w:t>%</w:t>
      </w:r>
      <w:r w:rsidR="00AE3C18">
        <w:rPr>
          <w:lang w:val="es-HN"/>
        </w:rPr>
        <w:t xml:space="preserve"> (US$ 0.18</w:t>
      </w:r>
      <w:r w:rsidR="009124F5">
        <w:rPr>
          <w:lang w:val="es-HN"/>
        </w:rPr>
        <w:t xml:space="preserve"> millones)</w:t>
      </w:r>
      <w:r w:rsidR="000B05F6">
        <w:rPr>
          <w:lang w:val="es-HN"/>
        </w:rPr>
        <w:t xml:space="preserve"> con fondos privados. En </w:t>
      </w:r>
      <w:r w:rsidR="0036265F">
        <w:rPr>
          <w:lang w:val="es-HN"/>
        </w:rPr>
        <w:t>el 2016</w:t>
      </w:r>
      <w:r w:rsidR="0045186B">
        <w:rPr>
          <w:lang w:val="es-HN"/>
        </w:rPr>
        <w:t xml:space="preserve">, </w:t>
      </w:r>
      <w:r w:rsidR="008114CA">
        <w:rPr>
          <w:lang w:val="es-HN"/>
        </w:rPr>
        <w:t>el 6</w:t>
      </w:r>
      <w:r w:rsidR="00E21113">
        <w:rPr>
          <w:lang w:val="es-HN"/>
        </w:rPr>
        <w:t>3</w:t>
      </w:r>
      <w:r w:rsidR="003C2325">
        <w:rPr>
          <w:lang w:val="es-HN"/>
        </w:rPr>
        <w:t>% (US$2.9</w:t>
      </w:r>
      <w:r w:rsidRPr="00025D4F">
        <w:rPr>
          <w:lang w:val="es-HN"/>
        </w:rPr>
        <w:t xml:space="preserve"> millones) se</w:t>
      </w:r>
      <w:r w:rsidR="007A64E3">
        <w:rPr>
          <w:lang w:val="es-HN"/>
        </w:rPr>
        <w:t xml:space="preserve"> </w:t>
      </w:r>
      <w:r w:rsidRPr="00025D4F">
        <w:rPr>
          <w:lang w:val="es-HN"/>
        </w:rPr>
        <w:t xml:space="preserve">financió con fondos </w:t>
      </w:r>
      <w:r w:rsidR="007C383A">
        <w:rPr>
          <w:lang w:val="es-HN"/>
        </w:rPr>
        <w:t xml:space="preserve">públicos; </w:t>
      </w:r>
      <w:r w:rsidR="0036265F">
        <w:rPr>
          <w:lang w:val="es-HN"/>
        </w:rPr>
        <w:t>un 34</w:t>
      </w:r>
      <w:r w:rsidRPr="00025D4F">
        <w:rPr>
          <w:lang w:val="es-HN"/>
        </w:rPr>
        <w:t xml:space="preserve">% </w:t>
      </w:r>
      <w:r w:rsidR="00E21113">
        <w:rPr>
          <w:lang w:val="es-HN"/>
        </w:rPr>
        <w:t>(US$ 1.55</w:t>
      </w:r>
      <w:r w:rsidR="008114CA">
        <w:rPr>
          <w:lang w:val="es-HN"/>
        </w:rPr>
        <w:t xml:space="preserve"> millones) </w:t>
      </w:r>
      <w:r w:rsidRPr="00025D4F">
        <w:rPr>
          <w:lang w:val="es-HN"/>
        </w:rPr>
        <w:t xml:space="preserve">con fondos </w:t>
      </w:r>
      <w:r w:rsidR="008114CA">
        <w:rPr>
          <w:lang w:val="es-HN"/>
        </w:rPr>
        <w:t>I</w:t>
      </w:r>
      <w:r w:rsidR="00E21113">
        <w:rPr>
          <w:lang w:val="es-HN"/>
        </w:rPr>
        <w:t xml:space="preserve">nternacionales y un 4% (US$ </w:t>
      </w:r>
      <w:r w:rsidR="0036265F">
        <w:rPr>
          <w:lang w:val="es-HN"/>
        </w:rPr>
        <w:t>0.16 millones</w:t>
      </w:r>
      <w:r w:rsidR="008114CA">
        <w:rPr>
          <w:lang w:val="es-HN"/>
        </w:rPr>
        <w:t xml:space="preserve">) de fondos privados correspondientes </w:t>
      </w:r>
      <w:r w:rsidR="00C371BE">
        <w:rPr>
          <w:lang w:val="es-HN"/>
        </w:rPr>
        <w:t xml:space="preserve">a gastos de bolsillo. </w:t>
      </w:r>
      <w:r w:rsidR="00E21113">
        <w:rPr>
          <w:lang w:val="es-HN"/>
        </w:rPr>
        <w:t>Gráfico 1, 2 y 3.</w:t>
      </w:r>
    </w:p>
    <w:p w:rsidR="00D2596C" w:rsidRDefault="0070314F" w:rsidP="009E333B">
      <w:pPr>
        <w:spacing w:before="0" w:beforeAutospacing="0"/>
        <w:rPr>
          <w:sz w:val="16"/>
          <w:szCs w:val="16"/>
          <w:lang w:val="es-HN"/>
        </w:rPr>
      </w:pPr>
      <w:r>
        <w:rPr>
          <w:noProof/>
          <w:lang w:val="es-NI" w:eastAsia="es-NI"/>
        </w:rPr>
        <w:drawing>
          <wp:anchor distT="0" distB="0" distL="114300" distR="114300" simplePos="0" relativeHeight="251664384" behindDoc="0" locked="0" layoutInCell="1" allowOverlap="1" wp14:anchorId="259EB9D4" wp14:editId="554BB402">
            <wp:simplePos x="0" y="0"/>
            <wp:positionH relativeFrom="margin">
              <wp:posOffset>650240</wp:posOffset>
            </wp:positionH>
            <wp:positionV relativeFrom="margin">
              <wp:posOffset>2640965</wp:posOffset>
            </wp:positionV>
            <wp:extent cx="4428877" cy="2194560"/>
            <wp:effectExtent l="19050" t="0" r="9773" b="0"/>
            <wp:wrapSquare wrapText="bothSides"/>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D2596C" w:rsidRDefault="00D2596C" w:rsidP="009E333B">
      <w:pPr>
        <w:spacing w:before="0" w:beforeAutospacing="0"/>
        <w:rPr>
          <w:sz w:val="16"/>
          <w:szCs w:val="16"/>
          <w:lang w:val="es-HN"/>
        </w:rPr>
      </w:pPr>
    </w:p>
    <w:p w:rsidR="00D2596C" w:rsidRDefault="00D2596C" w:rsidP="00D2596C">
      <w:pPr>
        <w:spacing w:before="0" w:beforeAutospacing="0" w:after="0" w:afterAutospacing="0" w:line="240" w:lineRule="auto"/>
        <w:ind w:left="992"/>
        <w:rPr>
          <w:noProof/>
          <w:lang w:val="es-NI" w:eastAsia="es-NI"/>
        </w:rPr>
      </w:pPr>
    </w:p>
    <w:p w:rsidR="0052433A" w:rsidRDefault="0052433A" w:rsidP="00D2596C">
      <w:pPr>
        <w:spacing w:before="0" w:beforeAutospacing="0" w:after="0" w:afterAutospacing="0" w:line="240" w:lineRule="auto"/>
        <w:ind w:left="992"/>
        <w:rPr>
          <w:sz w:val="16"/>
          <w:szCs w:val="16"/>
          <w:lang w:val="es-HN"/>
        </w:rPr>
      </w:pPr>
    </w:p>
    <w:p w:rsidR="0052433A" w:rsidRDefault="0052433A" w:rsidP="00D2596C">
      <w:pPr>
        <w:spacing w:before="0" w:beforeAutospacing="0" w:after="0" w:afterAutospacing="0" w:line="240" w:lineRule="auto"/>
        <w:ind w:left="992"/>
        <w:rPr>
          <w:sz w:val="16"/>
          <w:szCs w:val="16"/>
          <w:lang w:val="es-HN"/>
        </w:rPr>
      </w:pPr>
    </w:p>
    <w:p w:rsidR="007F5700" w:rsidRDefault="007F5700" w:rsidP="00D2596C">
      <w:pPr>
        <w:spacing w:before="0" w:beforeAutospacing="0" w:after="0" w:afterAutospacing="0" w:line="240" w:lineRule="auto"/>
        <w:ind w:left="992"/>
        <w:rPr>
          <w:sz w:val="16"/>
          <w:szCs w:val="16"/>
          <w:lang w:val="es-HN"/>
        </w:rPr>
      </w:pPr>
    </w:p>
    <w:p w:rsidR="007F5700" w:rsidRDefault="007F5700" w:rsidP="00D2596C">
      <w:pPr>
        <w:spacing w:before="0" w:beforeAutospacing="0" w:after="0" w:afterAutospacing="0" w:line="240" w:lineRule="auto"/>
        <w:ind w:left="992"/>
        <w:rPr>
          <w:sz w:val="16"/>
          <w:szCs w:val="16"/>
          <w:lang w:val="es-HN"/>
        </w:rPr>
      </w:pPr>
    </w:p>
    <w:p w:rsidR="007F5700" w:rsidRDefault="007F5700" w:rsidP="00D2596C">
      <w:pPr>
        <w:spacing w:before="0" w:beforeAutospacing="0" w:after="0" w:afterAutospacing="0" w:line="240" w:lineRule="auto"/>
        <w:ind w:left="992"/>
        <w:rPr>
          <w:sz w:val="16"/>
          <w:szCs w:val="16"/>
          <w:lang w:val="es-HN"/>
        </w:rPr>
      </w:pPr>
    </w:p>
    <w:p w:rsidR="007F5700" w:rsidRDefault="007F5700" w:rsidP="00D2596C">
      <w:pPr>
        <w:spacing w:before="0" w:beforeAutospacing="0" w:after="0" w:afterAutospacing="0" w:line="240" w:lineRule="auto"/>
        <w:ind w:left="992"/>
        <w:rPr>
          <w:sz w:val="16"/>
          <w:szCs w:val="16"/>
          <w:lang w:val="es-HN"/>
        </w:rPr>
      </w:pPr>
    </w:p>
    <w:p w:rsidR="007F5700" w:rsidRDefault="007F5700" w:rsidP="00D2596C">
      <w:pPr>
        <w:spacing w:before="0" w:beforeAutospacing="0" w:after="0" w:afterAutospacing="0" w:line="240" w:lineRule="auto"/>
        <w:ind w:left="992"/>
        <w:rPr>
          <w:sz w:val="16"/>
          <w:szCs w:val="16"/>
          <w:lang w:val="es-HN"/>
        </w:rPr>
      </w:pPr>
    </w:p>
    <w:p w:rsidR="0070314F" w:rsidRDefault="0070314F" w:rsidP="00D2596C">
      <w:pPr>
        <w:spacing w:before="0" w:beforeAutospacing="0" w:after="0" w:afterAutospacing="0" w:line="240" w:lineRule="auto"/>
        <w:ind w:left="992"/>
        <w:rPr>
          <w:sz w:val="16"/>
          <w:szCs w:val="16"/>
          <w:lang w:val="es-HN"/>
        </w:rPr>
      </w:pPr>
    </w:p>
    <w:p w:rsidR="0070314F" w:rsidRDefault="0070314F" w:rsidP="00D2596C">
      <w:pPr>
        <w:spacing w:before="0" w:beforeAutospacing="0" w:after="0" w:afterAutospacing="0" w:line="240" w:lineRule="auto"/>
        <w:ind w:left="992"/>
        <w:rPr>
          <w:sz w:val="16"/>
          <w:szCs w:val="16"/>
          <w:lang w:val="es-HN"/>
        </w:rPr>
      </w:pPr>
    </w:p>
    <w:p w:rsidR="0070314F" w:rsidRDefault="0070314F" w:rsidP="00D2596C">
      <w:pPr>
        <w:spacing w:before="0" w:beforeAutospacing="0" w:after="0" w:afterAutospacing="0" w:line="240" w:lineRule="auto"/>
        <w:ind w:left="992"/>
        <w:rPr>
          <w:sz w:val="16"/>
          <w:szCs w:val="16"/>
          <w:lang w:val="es-HN"/>
        </w:rPr>
      </w:pPr>
    </w:p>
    <w:p w:rsidR="0070314F" w:rsidRDefault="0070314F" w:rsidP="00D2596C">
      <w:pPr>
        <w:spacing w:before="0" w:beforeAutospacing="0" w:after="0" w:afterAutospacing="0" w:line="240" w:lineRule="auto"/>
        <w:ind w:left="992"/>
        <w:rPr>
          <w:sz w:val="16"/>
          <w:szCs w:val="16"/>
          <w:lang w:val="es-HN"/>
        </w:rPr>
      </w:pPr>
    </w:p>
    <w:p w:rsidR="0070314F" w:rsidRDefault="0070314F" w:rsidP="00D2596C">
      <w:pPr>
        <w:spacing w:before="0" w:beforeAutospacing="0" w:after="0" w:afterAutospacing="0" w:line="240" w:lineRule="auto"/>
        <w:ind w:left="992"/>
        <w:rPr>
          <w:sz w:val="16"/>
          <w:szCs w:val="16"/>
          <w:lang w:val="es-HN"/>
        </w:rPr>
      </w:pPr>
    </w:p>
    <w:p w:rsidR="009E333B" w:rsidRDefault="009E333B" w:rsidP="00D2596C">
      <w:pPr>
        <w:spacing w:before="0" w:beforeAutospacing="0" w:after="0" w:afterAutospacing="0" w:line="240" w:lineRule="auto"/>
        <w:ind w:left="992"/>
        <w:rPr>
          <w:sz w:val="16"/>
          <w:szCs w:val="16"/>
          <w:lang w:val="es-HN"/>
        </w:rPr>
      </w:pPr>
      <w:r w:rsidRPr="00D2596C">
        <w:rPr>
          <w:sz w:val="16"/>
          <w:szCs w:val="16"/>
          <w:lang w:val="es-HN"/>
        </w:rPr>
        <w:t>Fuente: Base de datos consolidado de transacciones Medición del</w:t>
      </w:r>
      <w:r w:rsidR="0018155D" w:rsidRPr="00D2596C">
        <w:rPr>
          <w:sz w:val="16"/>
          <w:szCs w:val="16"/>
          <w:lang w:val="es-HN"/>
        </w:rPr>
        <w:t xml:space="preserve"> Gasto en Tuberculosis 2014-2017</w:t>
      </w:r>
    </w:p>
    <w:p w:rsidR="00E21113" w:rsidRDefault="000A763E" w:rsidP="00E21113">
      <w:pPr>
        <w:keepNext/>
        <w:spacing w:before="0" w:beforeAutospacing="0" w:after="0" w:afterAutospacing="0" w:line="240" w:lineRule="auto"/>
        <w:ind w:left="992" w:hanging="850"/>
      </w:pPr>
      <w:r>
        <w:rPr>
          <w:noProof/>
          <w:lang w:val="es-NI" w:eastAsia="es-NI"/>
        </w:rPr>
        <w:lastRenderedPageBreak/>
        <mc:AlternateContent>
          <mc:Choice Requires="wps">
            <w:drawing>
              <wp:anchor distT="0" distB="0" distL="114300" distR="114300" simplePos="0" relativeHeight="251667456" behindDoc="0" locked="0" layoutInCell="1" allowOverlap="1">
                <wp:simplePos x="0" y="0"/>
                <wp:positionH relativeFrom="column">
                  <wp:posOffset>3268980</wp:posOffset>
                </wp:positionH>
                <wp:positionV relativeFrom="paragraph">
                  <wp:posOffset>2195830</wp:posOffset>
                </wp:positionV>
                <wp:extent cx="2320925" cy="635"/>
                <wp:effectExtent l="0" t="0" r="3175"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0925" cy="635"/>
                        </a:xfrm>
                        <a:prstGeom prst="rect">
                          <a:avLst/>
                        </a:prstGeom>
                        <a:solidFill>
                          <a:prstClr val="white"/>
                        </a:solidFill>
                        <a:ln>
                          <a:noFill/>
                        </a:ln>
                        <a:effectLst/>
                      </wps:spPr>
                      <wps:txbx>
                        <w:txbxContent>
                          <w:p w:rsidR="00C60A98" w:rsidRPr="00E21113" w:rsidRDefault="00C60A98" w:rsidP="003E0A1D">
                            <w:pPr>
                              <w:spacing w:before="0" w:beforeAutospacing="0" w:after="0" w:afterAutospacing="0" w:line="240" w:lineRule="auto"/>
                              <w:ind w:left="142"/>
                              <w:jc w:val="left"/>
                              <w:rPr>
                                <w:noProof/>
                                <w:lang w:val="es-HN"/>
                              </w:rPr>
                            </w:pPr>
                            <w:r w:rsidRPr="00E21113">
                              <w:rPr>
                                <w:sz w:val="16"/>
                                <w:szCs w:val="16"/>
                                <w:lang w:val="es-HN"/>
                              </w:rPr>
                              <w:t xml:space="preserve">Fuente: Base de datos consolidado de transacciones Medición </w:t>
                            </w:r>
                            <w:r w:rsidR="0036265F" w:rsidRPr="00E21113">
                              <w:rPr>
                                <w:sz w:val="16"/>
                                <w:szCs w:val="16"/>
                                <w:lang w:val="es-HN"/>
                              </w:rPr>
                              <w:t xml:space="preserve">del </w:t>
                            </w:r>
                            <w:r w:rsidR="0036265F">
                              <w:rPr>
                                <w:sz w:val="16"/>
                                <w:szCs w:val="16"/>
                                <w:lang w:val="es-HN"/>
                              </w:rPr>
                              <w:t>Gasto</w:t>
                            </w:r>
                            <w:r>
                              <w:rPr>
                                <w:sz w:val="16"/>
                                <w:szCs w:val="16"/>
                                <w:lang w:val="es-HN"/>
                              </w:rPr>
                              <w:t xml:space="preserve"> en Tuberculosis 2014-2017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257.4pt;margin-top:172.9pt;width:182.7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" stroked="f">
                <v:path arrowok="t"/>
                <v:textbox style="mso-fit-shape-to-text:t" inset="0,0,0,0">
                  <w:txbxContent>
                    <w:p w:rsidR="00C60A98" w:rsidRPr="00E21113" w:rsidRDefault="00C60A98" w:rsidP="003E0A1D">
                      <w:pPr>
                        <w:spacing w:before="0" w:beforeAutospacing="0" w:after="0" w:afterAutospacing="0" w:line="240" w:lineRule="auto"/>
                        <w:ind w:left="142"/>
                        <w:jc w:val="left"/>
                        <w:rPr>
                          <w:noProof/>
                          <w:lang w:val="es-HN"/>
                        </w:rPr>
                      </w:pPr>
                      <w:r w:rsidRPr="00E21113">
                        <w:rPr>
                          <w:sz w:val="16"/>
                          <w:szCs w:val="16"/>
                          <w:lang w:val="es-HN"/>
                        </w:rPr>
                        <w:t xml:space="preserve">Fuente: Base de datos consolidado de transacciones Medición </w:t>
                      </w:r>
                      <w:r w:rsidR="0036265F" w:rsidRPr="00E21113">
                        <w:rPr>
                          <w:sz w:val="16"/>
                          <w:szCs w:val="16"/>
                          <w:lang w:val="es-HN"/>
                        </w:rPr>
                        <w:t xml:space="preserve">del </w:t>
                      </w:r>
                      <w:r w:rsidR="0036265F">
                        <w:rPr>
                          <w:sz w:val="16"/>
                          <w:szCs w:val="16"/>
                          <w:lang w:val="es-HN"/>
                        </w:rPr>
                        <w:t>Gasto</w:t>
                      </w:r>
                      <w:r>
                        <w:rPr>
                          <w:sz w:val="16"/>
                          <w:szCs w:val="16"/>
                          <w:lang w:val="es-HN"/>
                        </w:rPr>
                        <w:t xml:space="preserve"> en Tuberculosis 2014-2017</w:t>
                      </w:r>
                    </w:p>
                  </w:txbxContent>
                </v:textbox>
                <w10:wrap type="square"/>
              </v:shape>
            </w:pict>
          </mc:Fallback>
        </mc:AlternateContent>
      </w:r>
      <w:r w:rsidR="00E21113">
        <w:rPr>
          <w:noProof/>
          <w:lang w:val="es-NI" w:eastAsia="es-NI"/>
        </w:rPr>
        <w:drawing>
          <wp:anchor distT="0" distB="0" distL="114300" distR="114300" simplePos="0" relativeHeight="251665408" behindDoc="0" locked="0" layoutInCell="1" allowOverlap="1">
            <wp:simplePos x="0" y="0"/>
            <wp:positionH relativeFrom="margin">
              <wp:posOffset>3268980</wp:posOffset>
            </wp:positionH>
            <wp:positionV relativeFrom="margin">
              <wp:align>top</wp:align>
            </wp:positionV>
            <wp:extent cx="2320925" cy="2138680"/>
            <wp:effectExtent l="0" t="0" r="3175" b="13970"/>
            <wp:wrapSquare wrapText="bothSides"/>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E21113">
        <w:rPr>
          <w:noProof/>
          <w:lang w:val="es-NI" w:eastAsia="es-NI"/>
        </w:rPr>
        <w:drawing>
          <wp:inline distT="0" distB="0" distL="0" distR="0">
            <wp:extent cx="2981739" cy="2162755"/>
            <wp:effectExtent l="0" t="0" r="9525" b="952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21113" w:rsidRDefault="00E21113" w:rsidP="00E21113">
      <w:pPr>
        <w:spacing w:before="0" w:beforeAutospacing="0" w:after="0" w:afterAutospacing="0" w:line="240" w:lineRule="auto"/>
        <w:ind w:firstLine="142"/>
        <w:jc w:val="left"/>
        <w:rPr>
          <w:sz w:val="16"/>
          <w:szCs w:val="16"/>
          <w:lang w:val="es-HN"/>
        </w:rPr>
      </w:pPr>
      <w:r w:rsidRPr="00E21113">
        <w:rPr>
          <w:sz w:val="16"/>
          <w:szCs w:val="16"/>
          <w:lang w:val="es-HN"/>
        </w:rPr>
        <w:t xml:space="preserve">Fuente: Base de datos consolidado de transacciones Medición del </w:t>
      </w:r>
    </w:p>
    <w:p w:rsidR="00E21113" w:rsidRPr="00E21113" w:rsidRDefault="00E21113" w:rsidP="00E21113">
      <w:pPr>
        <w:spacing w:before="0" w:beforeAutospacing="0" w:after="0" w:afterAutospacing="0" w:line="240" w:lineRule="auto"/>
        <w:ind w:left="142"/>
        <w:jc w:val="left"/>
        <w:rPr>
          <w:sz w:val="16"/>
          <w:szCs w:val="16"/>
          <w:lang w:val="es-HN"/>
        </w:rPr>
      </w:pPr>
      <w:r>
        <w:rPr>
          <w:sz w:val="16"/>
          <w:szCs w:val="16"/>
          <w:lang w:val="es-HN"/>
        </w:rPr>
        <w:t>Gasto en Tuberculosis 2014-2017</w:t>
      </w:r>
    </w:p>
    <w:p w:rsidR="00D2596C" w:rsidRPr="00D2596C" w:rsidRDefault="00D2596C" w:rsidP="00E21113">
      <w:pPr>
        <w:pStyle w:val="Descripcin"/>
        <w:rPr>
          <w:sz w:val="16"/>
          <w:szCs w:val="16"/>
          <w:lang w:val="es-HN"/>
        </w:rPr>
      </w:pPr>
    </w:p>
    <w:p w:rsidR="00736C03" w:rsidRDefault="00736C03" w:rsidP="009065DC">
      <w:pPr>
        <w:spacing w:before="0" w:beforeAutospacing="0" w:after="160" w:afterAutospacing="0" w:line="259" w:lineRule="auto"/>
        <w:rPr>
          <w:lang w:val="es-HN"/>
        </w:rPr>
      </w:pPr>
      <w:r>
        <w:rPr>
          <w:lang w:val="es-HN"/>
        </w:rPr>
        <w:t>E</w:t>
      </w:r>
      <w:r w:rsidR="00F84A4B">
        <w:rPr>
          <w:lang w:val="es-HN"/>
        </w:rPr>
        <w:t>n el año 2017</w:t>
      </w:r>
      <w:r>
        <w:rPr>
          <w:lang w:val="es-HN"/>
        </w:rPr>
        <w:t>, el Gasto Total en TB</w:t>
      </w:r>
      <w:r w:rsidR="00F84A4B">
        <w:rPr>
          <w:lang w:val="es-HN"/>
        </w:rPr>
        <w:t xml:space="preserve"> presentó un </w:t>
      </w:r>
      <w:r w:rsidR="00046CA4">
        <w:rPr>
          <w:lang w:val="es-HN"/>
        </w:rPr>
        <w:t>aumento del 17%</w:t>
      </w:r>
      <w:r w:rsidR="007F5700">
        <w:rPr>
          <w:lang w:val="es-HN"/>
        </w:rPr>
        <w:t>(</w:t>
      </w:r>
      <w:r w:rsidR="00020ECF">
        <w:rPr>
          <w:lang w:val="es-HN"/>
        </w:rPr>
        <w:t>US$</w:t>
      </w:r>
      <w:r w:rsidR="00923F96">
        <w:rPr>
          <w:lang w:val="es-HN"/>
        </w:rPr>
        <w:t>0</w:t>
      </w:r>
      <w:r w:rsidR="00020ECF">
        <w:rPr>
          <w:lang w:val="es-HN"/>
        </w:rPr>
        <w:t>.78) millones) en</w:t>
      </w:r>
      <w:r>
        <w:rPr>
          <w:lang w:val="es-HN"/>
        </w:rPr>
        <w:t xml:space="preserve"> comp</w:t>
      </w:r>
      <w:r w:rsidR="00F84A4B">
        <w:rPr>
          <w:lang w:val="es-HN"/>
        </w:rPr>
        <w:t>aración con el año 2016</w:t>
      </w:r>
      <w:r w:rsidR="002E5CA8">
        <w:rPr>
          <w:lang w:val="es-HN"/>
        </w:rPr>
        <w:t xml:space="preserve">, dado </w:t>
      </w:r>
      <w:r w:rsidR="0036265F">
        <w:rPr>
          <w:lang w:val="es-HN"/>
        </w:rPr>
        <w:t>el incremento</w:t>
      </w:r>
      <w:r>
        <w:rPr>
          <w:lang w:val="es-HN"/>
        </w:rPr>
        <w:t xml:space="preserve"> de los recursos</w:t>
      </w:r>
      <w:r w:rsidR="00F84A4B">
        <w:rPr>
          <w:lang w:val="es-HN"/>
        </w:rPr>
        <w:t xml:space="preserve"> nacionales</w:t>
      </w:r>
      <w:r w:rsidR="007E1C6B">
        <w:rPr>
          <w:lang w:val="es-HN"/>
        </w:rPr>
        <w:t xml:space="preserve"> en un 5% (US$0.15 millones), </w:t>
      </w:r>
      <w:r w:rsidR="0036265F">
        <w:rPr>
          <w:lang w:val="es-HN"/>
        </w:rPr>
        <w:t>los internacionales</w:t>
      </w:r>
      <w:r>
        <w:rPr>
          <w:lang w:val="es-HN"/>
        </w:rPr>
        <w:t xml:space="preserve"> provenientes del FM</w:t>
      </w:r>
      <w:r w:rsidR="007E1C6B">
        <w:rPr>
          <w:lang w:val="es-HN"/>
        </w:rPr>
        <w:t xml:space="preserve"> y la Fundación </w:t>
      </w:r>
      <w:r w:rsidR="0036265F">
        <w:rPr>
          <w:lang w:val="es-HN"/>
        </w:rPr>
        <w:t>Damián en</w:t>
      </w:r>
      <w:r w:rsidR="007E1C6B">
        <w:rPr>
          <w:lang w:val="es-HN"/>
        </w:rPr>
        <w:t xml:space="preserve"> un 39% (US$0.606 millones).</w:t>
      </w:r>
    </w:p>
    <w:p w:rsidR="00CC7295" w:rsidRDefault="00046CA4" w:rsidP="009065DC">
      <w:pPr>
        <w:spacing w:before="0" w:beforeAutospacing="0" w:after="160" w:afterAutospacing="0" w:line="259" w:lineRule="auto"/>
        <w:rPr>
          <w:lang w:val="es-HN"/>
        </w:rPr>
      </w:pPr>
      <w:r>
        <w:rPr>
          <w:lang w:val="es-HN"/>
        </w:rPr>
        <w:t>En el año 2016</w:t>
      </w:r>
      <w:r w:rsidR="000D4D77">
        <w:rPr>
          <w:lang w:val="es-HN"/>
        </w:rPr>
        <w:t xml:space="preserve"> el </w:t>
      </w:r>
      <w:r w:rsidR="0036265F">
        <w:rPr>
          <w:lang w:val="es-HN"/>
        </w:rPr>
        <w:t>Gasto Total</w:t>
      </w:r>
      <w:r w:rsidR="002066FF">
        <w:rPr>
          <w:lang w:val="es-HN"/>
        </w:rPr>
        <w:t xml:space="preserve"> </w:t>
      </w:r>
      <w:r w:rsidR="000D4D77">
        <w:rPr>
          <w:lang w:val="es-HN"/>
        </w:rPr>
        <w:t>en TB se incrementó en u</w:t>
      </w:r>
      <w:r w:rsidR="002066FF">
        <w:rPr>
          <w:lang w:val="es-HN"/>
        </w:rPr>
        <w:t>n</w:t>
      </w:r>
      <w:r w:rsidR="00530812">
        <w:rPr>
          <w:lang w:val="es-HN"/>
        </w:rPr>
        <w:t xml:space="preserve"> </w:t>
      </w:r>
      <w:r>
        <w:rPr>
          <w:lang w:val="es-HN"/>
        </w:rPr>
        <w:t>5% en comparación con el año 2015</w:t>
      </w:r>
      <w:r w:rsidR="005F0D81">
        <w:rPr>
          <w:lang w:val="es-HN"/>
        </w:rPr>
        <w:t xml:space="preserve"> a expensas de la incorporación de </w:t>
      </w:r>
      <w:r w:rsidR="0036265F">
        <w:rPr>
          <w:lang w:val="es-HN"/>
        </w:rPr>
        <w:t>los gastos</w:t>
      </w:r>
      <w:r w:rsidR="000D4D77">
        <w:rPr>
          <w:lang w:val="es-HN"/>
        </w:rPr>
        <w:t xml:space="preserve"> de </w:t>
      </w:r>
      <w:r w:rsidR="005F0D81">
        <w:rPr>
          <w:lang w:val="es-HN"/>
        </w:rPr>
        <w:t xml:space="preserve">las aportaciones de la seguridad social </w:t>
      </w:r>
      <w:r w:rsidR="00923F96">
        <w:rPr>
          <w:lang w:val="es-HN"/>
        </w:rPr>
        <w:t xml:space="preserve">a </w:t>
      </w:r>
      <w:r w:rsidR="0036265F">
        <w:rPr>
          <w:lang w:val="es-HN"/>
        </w:rPr>
        <w:t>la estimación</w:t>
      </w:r>
      <w:r w:rsidR="00923F96">
        <w:rPr>
          <w:lang w:val="es-HN"/>
        </w:rPr>
        <w:t xml:space="preserve"> del gasto </w:t>
      </w:r>
      <w:r w:rsidR="0036265F">
        <w:rPr>
          <w:lang w:val="es-HN"/>
        </w:rPr>
        <w:t>nacional a</w:t>
      </w:r>
      <w:r w:rsidR="00923F96">
        <w:rPr>
          <w:lang w:val="es-HN"/>
        </w:rPr>
        <w:t xml:space="preserve"> partir de ese</w:t>
      </w:r>
      <w:r w:rsidR="005F0D81">
        <w:rPr>
          <w:lang w:val="es-HN"/>
        </w:rPr>
        <w:t xml:space="preserve"> año</w:t>
      </w:r>
      <w:r w:rsidR="000D4D77">
        <w:rPr>
          <w:lang w:val="es-HN"/>
        </w:rPr>
        <w:t xml:space="preserve">, mientras que los recursos </w:t>
      </w:r>
      <w:r w:rsidR="005F0D81">
        <w:rPr>
          <w:lang w:val="es-HN"/>
        </w:rPr>
        <w:t>proven</w:t>
      </w:r>
      <w:r w:rsidR="00B92C7E">
        <w:rPr>
          <w:lang w:val="es-HN"/>
        </w:rPr>
        <w:t xml:space="preserve">ientes del gobierno nacional </w:t>
      </w:r>
      <w:r w:rsidR="005F0D81">
        <w:rPr>
          <w:lang w:val="es-HN"/>
        </w:rPr>
        <w:t>descendieron levemente.</w:t>
      </w:r>
    </w:p>
    <w:p w:rsidR="00F84A4B" w:rsidRDefault="00F84A4B" w:rsidP="009065DC">
      <w:pPr>
        <w:spacing w:before="0" w:beforeAutospacing="0" w:after="160" w:afterAutospacing="0" w:line="259" w:lineRule="auto"/>
        <w:jc w:val="center"/>
        <w:rPr>
          <w:lang w:val="es-HN"/>
        </w:rPr>
      </w:pPr>
    </w:p>
    <w:p w:rsidR="009065DC" w:rsidRDefault="003833AB" w:rsidP="009065DC">
      <w:pPr>
        <w:spacing w:before="0" w:beforeAutospacing="0" w:after="160" w:afterAutospacing="0" w:line="259" w:lineRule="auto"/>
        <w:jc w:val="center"/>
        <w:rPr>
          <w:lang w:val="es-HN"/>
        </w:rPr>
      </w:pPr>
      <w:r>
        <w:rPr>
          <w:lang w:val="es-HN"/>
        </w:rPr>
        <w:t>Tabla 3</w:t>
      </w:r>
      <w:r w:rsidR="009065DC">
        <w:rPr>
          <w:lang w:val="es-HN"/>
        </w:rPr>
        <w:t xml:space="preserve">. </w:t>
      </w:r>
      <w:r w:rsidR="009065DC" w:rsidRPr="009065DC">
        <w:rPr>
          <w:lang w:val="es-HN"/>
        </w:rPr>
        <w:t>Gasto en Tuberculosis por Origen del Financiamiento</w:t>
      </w:r>
      <w:r w:rsidR="00046CA4">
        <w:rPr>
          <w:lang w:val="es-HN"/>
        </w:rPr>
        <w:t>. Nicaragua 2014-2017</w:t>
      </w:r>
    </w:p>
    <w:p w:rsidR="009065DC" w:rsidRDefault="009065DC" w:rsidP="009065DC">
      <w:pPr>
        <w:spacing w:before="0" w:beforeAutospacing="0" w:after="160" w:afterAutospacing="0" w:line="259" w:lineRule="auto"/>
        <w:jc w:val="center"/>
        <w:rPr>
          <w:lang w:val="es-HN"/>
        </w:rPr>
      </w:pPr>
      <w:r>
        <w:rPr>
          <w:lang w:val="es-HN"/>
        </w:rPr>
        <w:t>En Dólares</w:t>
      </w:r>
    </w:p>
    <w:tbl>
      <w:tblPr>
        <w:tblW w:w="10200" w:type="dxa"/>
        <w:tblInd w:w="-431" w:type="dxa"/>
        <w:tblCellMar>
          <w:left w:w="70" w:type="dxa"/>
          <w:right w:w="70" w:type="dxa"/>
        </w:tblCellMar>
        <w:tblLook w:val="04A0" w:firstRow="1" w:lastRow="0" w:firstColumn="1" w:lastColumn="0" w:noHBand="0" w:noVBand="1"/>
      </w:tblPr>
      <w:tblGrid>
        <w:gridCol w:w="1844"/>
        <w:gridCol w:w="1001"/>
        <w:gridCol w:w="596"/>
        <w:gridCol w:w="950"/>
        <w:gridCol w:w="669"/>
        <w:gridCol w:w="999"/>
        <w:gridCol w:w="562"/>
        <w:gridCol w:w="1139"/>
        <w:gridCol w:w="636"/>
        <w:gridCol w:w="1052"/>
        <w:gridCol w:w="752"/>
      </w:tblGrid>
      <w:tr w:rsidR="00087FA5" w:rsidRPr="00087FA5" w:rsidTr="00046CA4">
        <w:trPr>
          <w:trHeight w:val="600"/>
          <w:tblHeader/>
        </w:trPr>
        <w:tc>
          <w:tcPr>
            <w:tcW w:w="1844"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087FA5" w:rsidRPr="00087FA5" w:rsidRDefault="00087FA5" w:rsidP="00087FA5">
            <w:pPr>
              <w:spacing w:before="0" w:beforeAutospacing="0" w:after="0" w:afterAutospacing="0" w:line="240" w:lineRule="auto"/>
              <w:jc w:val="center"/>
              <w:rPr>
                <w:rFonts w:ascii="Calibri" w:eastAsia="Times New Roman" w:hAnsi="Calibri" w:cs="Calibri"/>
                <w:b/>
                <w:bCs/>
                <w:color w:val="000000"/>
                <w:sz w:val="20"/>
                <w:szCs w:val="20"/>
                <w:lang w:val="es-NI" w:eastAsia="es-NI"/>
              </w:rPr>
            </w:pPr>
            <w:r w:rsidRPr="00087FA5">
              <w:rPr>
                <w:rFonts w:ascii="Calibri" w:eastAsia="Times New Roman" w:hAnsi="Calibri" w:cs="Calibri"/>
                <w:b/>
                <w:bCs/>
                <w:color w:val="000000"/>
                <w:sz w:val="20"/>
                <w:szCs w:val="20"/>
                <w:lang w:val="es-NI" w:eastAsia="es-NI"/>
              </w:rPr>
              <w:t>Fuente de Financiamiento</w:t>
            </w:r>
          </w:p>
        </w:tc>
        <w:tc>
          <w:tcPr>
            <w:tcW w:w="1001" w:type="dxa"/>
            <w:tcBorders>
              <w:top w:val="single" w:sz="4" w:space="0" w:color="auto"/>
              <w:left w:val="nil"/>
              <w:bottom w:val="single" w:sz="4" w:space="0" w:color="auto"/>
              <w:right w:val="single" w:sz="4" w:space="0" w:color="auto"/>
            </w:tcBorders>
            <w:shd w:val="clear" w:color="000000" w:fill="5B9BD5"/>
            <w:noWrap/>
            <w:vAlign w:val="center"/>
            <w:hideMark/>
          </w:tcPr>
          <w:p w:rsidR="00087FA5" w:rsidRPr="00087FA5" w:rsidRDefault="00087FA5" w:rsidP="00087FA5">
            <w:pPr>
              <w:spacing w:before="0" w:beforeAutospacing="0" w:after="0" w:afterAutospacing="0" w:line="240" w:lineRule="auto"/>
              <w:jc w:val="center"/>
              <w:rPr>
                <w:rFonts w:ascii="Calibri" w:eastAsia="Times New Roman" w:hAnsi="Calibri" w:cs="Calibri"/>
                <w:b/>
                <w:bCs/>
                <w:color w:val="000000"/>
                <w:sz w:val="20"/>
                <w:szCs w:val="20"/>
                <w:lang w:val="es-NI" w:eastAsia="es-NI"/>
              </w:rPr>
            </w:pPr>
            <w:r w:rsidRPr="00087FA5">
              <w:rPr>
                <w:rFonts w:ascii="Calibri" w:eastAsia="Times New Roman" w:hAnsi="Calibri" w:cs="Calibri"/>
                <w:b/>
                <w:bCs/>
                <w:color w:val="000000"/>
                <w:sz w:val="20"/>
                <w:szCs w:val="20"/>
                <w:lang w:val="es-NI" w:eastAsia="es-NI"/>
              </w:rPr>
              <w:t>2014</w:t>
            </w:r>
          </w:p>
        </w:tc>
        <w:tc>
          <w:tcPr>
            <w:tcW w:w="596" w:type="dxa"/>
            <w:tcBorders>
              <w:top w:val="single" w:sz="4" w:space="0" w:color="auto"/>
              <w:left w:val="nil"/>
              <w:bottom w:val="single" w:sz="4" w:space="0" w:color="auto"/>
              <w:right w:val="single" w:sz="4" w:space="0" w:color="auto"/>
            </w:tcBorders>
            <w:shd w:val="clear" w:color="000000" w:fill="5B9BD5"/>
            <w:noWrap/>
            <w:vAlign w:val="center"/>
            <w:hideMark/>
          </w:tcPr>
          <w:p w:rsidR="00087FA5" w:rsidRPr="00087FA5" w:rsidRDefault="00087FA5" w:rsidP="00087FA5">
            <w:pPr>
              <w:spacing w:before="0" w:beforeAutospacing="0" w:after="0" w:afterAutospacing="0" w:line="240" w:lineRule="auto"/>
              <w:jc w:val="center"/>
              <w:rPr>
                <w:rFonts w:ascii="Calibri" w:eastAsia="Times New Roman" w:hAnsi="Calibri" w:cs="Calibri"/>
                <w:b/>
                <w:bCs/>
                <w:color w:val="000000"/>
                <w:sz w:val="20"/>
                <w:szCs w:val="20"/>
                <w:lang w:val="es-NI" w:eastAsia="es-NI"/>
              </w:rPr>
            </w:pPr>
            <w:r w:rsidRPr="00087FA5">
              <w:rPr>
                <w:rFonts w:ascii="Calibri" w:eastAsia="Times New Roman" w:hAnsi="Calibri" w:cs="Calibri"/>
                <w:b/>
                <w:bCs/>
                <w:color w:val="000000"/>
                <w:sz w:val="20"/>
                <w:szCs w:val="20"/>
                <w:lang w:val="es-NI" w:eastAsia="es-NI"/>
              </w:rPr>
              <w:t>%</w:t>
            </w:r>
          </w:p>
        </w:tc>
        <w:tc>
          <w:tcPr>
            <w:tcW w:w="950" w:type="dxa"/>
            <w:tcBorders>
              <w:top w:val="single" w:sz="4" w:space="0" w:color="auto"/>
              <w:left w:val="nil"/>
              <w:bottom w:val="single" w:sz="4" w:space="0" w:color="auto"/>
              <w:right w:val="single" w:sz="4" w:space="0" w:color="auto"/>
            </w:tcBorders>
            <w:shd w:val="clear" w:color="000000" w:fill="5B9BD5"/>
            <w:noWrap/>
            <w:vAlign w:val="center"/>
            <w:hideMark/>
          </w:tcPr>
          <w:p w:rsidR="00087FA5" w:rsidRPr="00087FA5" w:rsidRDefault="00087FA5" w:rsidP="00087FA5">
            <w:pPr>
              <w:spacing w:before="0" w:beforeAutospacing="0" w:after="0" w:afterAutospacing="0" w:line="240" w:lineRule="auto"/>
              <w:jc w:val="center"/>
              <w:rPr>
                <w:rFonts w:ascii="Calibri" w:eastAsia="Times New Roman" w:hAnsi="Calibri" w:cs="Calibri"/>
                <w:b/>
                <w:bCs/>
                <w:color w:val="000000"/>
                <w:sz w:val="20"/>
                <w:szCs w:val="20"/>
                <w:lang w:val="es-NI" w:eastAsia="es-NI"/>
              </w:rPr>
            </w:pPr>
            <w:r w:rsidRPr="00087FA5">
              <w:rPr>
                <w:rFonts w:ascii="Calibri" w:eastAsia="Times New Roman" w:hAnsi="Calibri" w:cs="Calibri"/>
                <w:b/>
                <w:bCs/>
                <w:color w:val="000000"/>
                <w:sz w:val="20"/>
                <w:szCs w:val="20"/>
                <w:lang w:val="es-NI" w:eastAsia="es-NI"/>
              </w:rPr>
              <w:t>2015</w:t>
            </w:r>
          </w:p>
        </w:tc>
        <w:tc>
          <w:tcPr>
            <w:tcW w:w="669" w:type="dxa"/>
            <w:tcBorders>
              <w:top w:val="single" w:sz="4" w:space="0" w:color="auto"/>
              <w:left w:val="nil"/>
              <w:bottom w:val="single" w:sz="4" w:space="0" w:color="auto"/>
              <w:right w:val="single" w:sz="4" w:space="0" w:color="auto"/>
            </w:tcBorders>
            <w:shd w:val="clear" w:color="000000" w:fill="5B9BD5"/>
            <w:noWrap/>
            <w:vAlign w:val="center"/>
            <w:hideMark/>
          </w:tcPr>
          <w:p w:rsidR="00087FA5" w:rsidRPr="00087FA5" w:rsidRDefault="00087FA5" w:rsidP="00087FA5">
            <w:pPr>
              <w:spacing w:before="0" w:beforeAutospacing="0" w:after="0" w:afterAutospacing="0" w:line="240" w:lineRule="auto"/>
              <w:jc w:val="center"/>
              <w:rPr>
                <w:rFonts w:ascii="Calibri" w:eastAsia="Times New Roman" w:hAnsi="Calibri" w:cs="Calibri"/>
                <w:b/>
                <w:bCs/>
                <w:color w:val="000000"/>
                <w:sz w:val="20"/>
                <w:szCs w:val="20"/>
                <w:lang w:val="es-NI" w:eastAsia="es-NI"/>
              </w:rPr>
            </w:pPr>
            <w:r w:rsidRPr="00087FA5">
              <w:rPr>
                <w:rFonts w:ascii="Calibri" w:eastAsia="Times New Roman" w:hAnsi="Calibri" w:cs="Calibri"/>
                <w:b/>
                <w:bCs/>
                <w:color w:val="000000"/>
                <w:sz w:val="20"/>
                <w:szCs w:val="20"/>
                <w:lang w:val="es-NI" w:eastAsia="es-NI"/>
              </w:rPr>
              <w:t>%</w:t>
            </w:r>
          </w:p>
        </w:tc>
        <w:tc>
          <w:tcPr>
            <w:tcW w:w="999" w:type="dxa"/>
            <w:tcBorders>
              <w:top w:val="single" w:sz="4" w:space="0" w:color="auto"/>
              <w:left w:val="nil"/>
              <w:bottom w:val="single" w:sz="4" w:space="0" w:color="auto"/>
              <w:right w:val="single" w:sz="4" w:space="0" w:color="auto"/>
            </w:tcBorders>
            <w:shd w:val="clear" w:color="000000" w:fill="5B9BD5"/>
            <w:vAlign w:val="center"/>
            <w:hideMark/>
          </w:tcPr>
          <w:p w:rsidR="00087FA5" w:rsidRPr="00087FA5" w:rsidRDefault="00087FA5" w:rsidP="00087FA5">
            <w:pPr>
              <w:spacing w:before="0" w:beforeAutospacing="0" w:after="0" w:afterAutospacing="0" w:line="240" w:lineRule="auto"/>
              <w:jc w:val="center"/>
              <w:rPr>
                <w:rFonts w:ascii="Calibri" w:eastAsia="Times New Roman" w:hAnsi="Calibri" w:cs="Calibri"/>
                <w:b/>
                <w:bCs/>
                <w:color w:val="000000"/>
                <w:sz w:val="20"/>
                <w:szCs w:val="20"/>
                <w:lang w:val="es-NI" w:eastAsia="es-NI"/>
              </w:rPr>
            </w:pPr>
            <w:r w:rsidRPr="00087FA5">
              <w:rPr>
                <w:rFonts w:ascii="Calibri" w:eastAsia="Times New Roman" w:hAnsi="Calibri" w:cs="Calibri"/>
                <w:b/>
                <w:bCs/>
                <w:color w:val="000000"/>
                <w:sz w:val="20"/>
                <w:szCs w:val="20"/>
                <w:lang w:eastAsia="es-NI"/>
              </w:rPr>
              <w:t>2016</w:t>
            </w:r>
          </w:p>
        </w:tc>
        <w:tc>
          <w:tcPr>
            <w:tcW w:w="562" w:type="dxa"/>
            <w:tcBorders>
              <w:top w:val="single" w:sz="4" w:space="0" w:color="auto"/>
              <w:left w:val="nil"/>
              <w:bottom w:val="single" w:sz="4" w:space="0" w:color="auto"/>
              <w:right w:val="single" w:sz="4" w:space="0" w:color="auto"/>
            </w:tcBorders>
            <w:shd w:val="clear" w:color="000000" w:fill="5B9BD5"/>
            <w:vAlign w:val="center"/>
            <w:hideMark/>
          </w:tcPr>
          <w:p w:rsidR="00087FA5" w:rsidRPr="00087FA5" w:rsidRDefault="00087FA5" w:rsidP="00087FA5">
            <w:pPr>
              <w:spacing w:before="0" w:beforeAutospacing="0" w:after="0" w:afterAutospacing="0" w:line="240" w:lineRule="auto"/>
              <w:jc w:val="center"/>
              <w:rPr>
                <w:rFonts w:ascii="Calibri" w:eastAsia="Times New Roman" w:hAnsi="Calibri" w:cs="Calibri"/>
                <w:b/>
                <w:bCs/>
                <w:color w:val="000000"/>
                <w:sz w:val="20"/>
                <w:szCs w:val="20"/>
                <w:lang w:val="es-NI" w:eastAsia="es-NI"/>
              </w:rPr>
            </w:pPr>
            <w:r w:rsidRPr="00087FA5">
              <w:rPr>
                <w:rFonts w:ascii="Calibri" w:eastAsia="Times New Roman" w:hAnsi="Calibri" w:cs="Calibri"/>
                <w:b/>
                <w:bCs/>
                <w:color w:val="000000"/>
                <w:sz w:val="20"/>
                <w:szCs w:val="20"/>
                <w:lang w:eastAsia="es-NI"/>
              </w:rPr>
              <w:t>%</w:t>
            </w:r>
          </w:p>
        </w:tc>
        <w:tc>
          <w:tcPr>
            <w:tcW w:w="1139" w:type="dxa"/>
            <w:tcBorders>
              <w:top w:val="single" w:sz="4" w:space="0" w:color="auto"/>
              <w:left w:val="nil"/>
              <w:bottom w:val="single" w:sz="4" w:space="0" w:color="auto"/>
              <w:right w:val="single" w:sz="4" w:space="0" w:color="auto"/>
            </w:tcBorders>
            <w:shd w:val="clear" w:color="000000" w:fill="5B9BD5"/>
            <w:vAlign w:val="center"/>
            <w:hideMark/>
          </w:tcPr>
          <w:p w:rsidR="00087FA5" w:rsidRPr="00087FA5" w:rsidRDefault="00087FA5" w:rsidP="00087FA5">
            <w:pPr>
              <w:spacing w:before="0" w:beforeAutospacing="0" w:after="0" w:afterAutospacing="0" w:line="240" w:lineRule="auto"/>
              <w:jc w:val="center"/>
              <w:rPr>
                <w:rFonts w:ascii="Calibri" w:eastAsia="Times New Roman" w:hAnsi="Calibri" w:cs="Calibri"/>
                <w:b/>
                <w:bCs/>
                <w:color w:val="000000"/>
                <w:sz w:val="20"/>
                <w:szCs w:val="20"/>
                <w:lang w:val="es-NI" w:eastAsia="es-NI"/>
              </w:rPr>
            </w:pPr>
            <w:r w:rsidRPr="00087FA5">
              <w:rPr>
                <w:rFonts w:ascii="Calibri" w:eastAsia="Times New Roman" w:hAnsi="Calibri" w:cs="Calibri"/>
                <w:b/>
                <w:bCs/>
                <w:color w:val="000000"/>
                <w:sz w:val="20"/>
                <w:szCs w:val="20"/>
                <w:lang w:eastAsia="es-NI"/>
              </w:rPr>
              <w:t>2017</w:t>
            </w:r>
          </w:p>
        </w:tc>
        <w:tc>
          <w:tcPr>
            <w:tcW w:w="636" w:type="dxa"/>
            <w:tcBorders>
              <w:top w:val="single" w:sz="4" w:space="0" w:color="auto"/>
              <w:left w:val="nil"/>
              <w:bottom w:val="single" w:sz="4" w:space="0" w:color="auto"/>
              <w:right w:val="single" w:sz="4" w:space="0" w:color="auto"/>
            </w:tcBorders>
            <w:shd w:val="clear" w:color="000000" w:fill="5B9BD5"/>
            <w:vAlign w:val="center"/>
            <w:hideMark/>
          </w:tcPr>
          <w:p w:rsidR="00087FA5" w:rsidRPr="00087FA5" w:rsidRDefault="00087FA5" w:rsidP="00087FA5">
            <w:pPr>
              <w:spacing w:before="0" w:beforeAutospacing="0" w:after="0" w:afterAutospacing="0" w:line="240" w:lineRule="auto"/>
              <w:jc w:val="center"/>
              <w:rPr>
                <w:rFonts w:ascii="Calibri" w:eastAsia="Times New Roman" w:hAnsi="Calibri" w:cs="Calibri"/>
                <w:b/>
                <w:bCs/>
                <w:color w:val="000000"/>
                <w:sz w:val="20"/>
                <w:szCs w:val="20"/>
                <w:lang w:val="es-NI" w:eastAsia="es-NI"/>
              </w:rPr>
            </w:pPr>
            <w:r w:rsidRPr="00087FA5">
              <w:rPr>
                <w:rFonts w:ascii="Calibri" w:eastAsia="Times New Roman" w:hAnsi="Calibri" w:cs="Calibri"/>
                <w:b/>
                <w:bCs/>
                <w:color w:val="000000"/>
                <w:sz w:val="20"/>
                <w:szCs w:val="20"/>
                <w:lang w:eastAsia="es-NI"/>
              </w:rPr>
              <w:t>%</w:t>
            </w:r>
          </w:p>
        </w:tc>
        <w:tc>
          <w:tcPr>
            <w:tcW w:w="1052" w:type="dxa"/>
            <w:tcBorders>
              <w:top w:val="single" w:sz="4" w:space="0" w:color="auto"/>
              <w:left w:val="nil"/>
              <w:bottom w:val="single" w:sz="4" w:space="0" w:color="auto"/>
              <w:right w:val="single" w:sz="4" w:space="0" w:color="auto"/>
            </w:tcBorders>
            <w:shd w:val="clear" w:color="000000" w:fill="5B9BD5"/>
            <w:vAlign w:val="center"/>
            <w:hideMark/>
          </w:tcPr>
          <w:p w:rsidR="00087FA5" w:rsidRPr="00087FA5" w:rsidRDefault="00087FA5" w:rsidP="00087FA5">
            <w:pPr>
              <w:spacing w:before="0" w:beforeAutospacing="0" w:after="0" w:afterAutospacing="0" w:line="240" w:lineRule="auto"/>
              <w:jc w:val="center"/>
              <w:rPr>
                <w:rFonts w:ascii="Calibri" w:eastAsia="Times New Roman" w:hAnsi="Calibri" w:cs="Calibri"/>
                <w:b/>
                <w:bCs/>
                <w:color w:val="000000"/>
                <w:sz w:val="20"/>
                <w:szCs w:val="20"/>
                <w:lang w:val="es-NI" w:eastAsia="es-NI"/>
              </w:rPr>
            </w:pPr>
            <w:r w:rsidRPr="00087FA5">
              <w:rPr>
                <w:rFonts w:ascii="Calibri" w:eastAsia="Times New Roman" w:hAnsi="Calibri" w:cs="Calibri"/>
                <w:b/>
                <w:bCs/>
                <w:color w:val="000000"/>
                <w:sz w:val="20"/>
                <w:szCs w:val="20"/>
                <w:lang w:eastAsia="es-NI"/>
              </w:rPr>
              <w:t>Variación 2016-2017</w:t>
            </w:r>
          </w:p>
        </w:tc>
        <w:tc>
          <w:tcPr>
            <w:tcW w:w="752" w:type="dxa"/>
            <w:tcBorders>
              <w:top w:val="single" w:sz="4" w:space="0" w:color="auto"/>
              <w:left w:val="nil"/>
              <w:bottom w:val="single" w:sz="4" w:space="0" w:color="auto"/>
              <w:right w:val="single" w:sz="4" w:space="0" w:color="auto"/>
            </w:tcBorders>
            <w:shd w:val="clear" w:color="000000" w:fill="5B9BD5"/>
            <w:vAlign w:val="center"/>
            <w:hideMark/>
          </w:tcPr>
          <w:p w:rsidR="00087FA5" w:rsidRPr="00087FA5" w:rsidRDefault="00087FA5" w:rsidP="00087FA5">
            <w:pPr>
              <w:spacing w:before="0" w:beforeAutospacing="0" w:after="0" w:afterAutospacing="0" w:line="240" w:lineRule="auto"/>
              <w:jc w:val="center"/>
              <w:rPr>
                <w:rFonts w:ascii="Calibri" w:eastAsia="Times New Roman" w:hAnsi="Calibri" w:cs="Calibri"/>
                <w:b/>
                <w:bCs/>
                <w:color w:val="000000"/>
                <w:sz w:val="20"/>
                <w:szCs w:val="20"/>
                <w:lang w:val="es-NI" w:eastAsia="es-NI"/>
              </w:rPr>
            </w:pPr>
            <w:r w:rsidRPr="00087FA5">
              <w:rPr>
                <w:rFonts w:ascii="Calibri" w:eastAsia="Times New Roman" w:hAnsi="Calibri" w:cs="Calibri"/>
                <w:b/>
                <w:bCs/>
                <w:color w:val="000000"/>
                <w:sz w:val="20"/>
                <w:szCs w:val="20"/>
                <w:lang w:eastAsia="es-NI"/>
              </w:rPr>
              <w:t>%</w:t>
            </w:r>
          </w:p>
        </w:tc>
      </w:tr>
      <w:tr w:rsidR="00046CA4" w:rsidRPr="00087FA5" w:rsidTr="00046CA4">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046CA4" w:rsidRPr="00087FA5" w:rsidRDefault="00046CA4" w:rsidP="00046CA4">
            <w:pPr>
              <w:spacing w:before="0" w:beforeAutospacing="0" w:after="0" w:afterAutospacing="0" w:line="240" w:lineRule="auto"/>
              <w:jc w:val="left"/>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val="es-NI" w:eastAsia="es-NI"/>
              </w:rPr>
              <w:t>Fuentes del gobierno Nacional</w:t>
            </w:r>
          </w:p>
        </w:tc>
        <w:tc>
          <w:tcPr>
            <w:tcW w:w="1001" w:type="dxa"/>
            <w:tcBorders>
              <w:top w:val="nil"/>
              <w:left w:val="nil"/>
              <w:bottom w:val="single" w:sz="4" w:space="0" w:color="auto"/>
              <w:right w:val="single" w:sz="4" w:space="0" w:color="auto"/>
            </w:tcBorders>
            <w:shd w:val="clear" w:color="auto" w:fill="auto"/>
            <w:noWrap/>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val="es-NI" w:eastAsia="es-NI"/>
              </w:rPr>
              <w:t>1,834,300</w:t>
            </w:r>
          </w:p>
        </w:tc>
        <w:tc>
          <w:tcPr>
            <w:tcW w:w="596" w:type="dxa"/>
            <w:tcBorders>
              <w:top w:val="nil"/>
              <w:left w:val="nil"/>
              <w:bottom w:val="single" w:sz="4" w:space="0" w:color="auto"/>
              <w:right w:val="single" w:sz="4" w:space="0" w:color="auto"/>
            </w:tcBorders>
            <w:shd w:val="clear" w:color="auto" w:fill="auto"/>
            <w:noWrap/>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eastAsia="es-NI"/>
              </w:rPr>
              <w:t>51.8</w:t>
            </w:r>
          </w:p>
        </w:tc>
        <w:tc>
          <w:tcPr>
            <w:tcW w:w="950" w:type="dxa"/>
            <w:tcBorders>
              <w:top w:val="nil"/>
              <w:left w:val="nil"/>
              <w:bottom w:val="single" w:sz="4" w:space="0" w:color="auto"/>
              <w:right w:val="single" w:sz="4" w:space="0" w:color="auto"/>
            </w:tcBorders>
            <w:shd w:val="clear" w:color="auto" w:fill="auto"/>
            <w:noWrap/>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val="es-NI" w:eastAsia="es-NI"/>
              </w:rPr>
              <w:t>2,881,260</w:t>
            </w:r>
          </w:p>
        </w:tc>
        <w:tc>
          <w:tcPr>
            <w:tcW w:w="669" w:type="dxa"/>
            <w:tcBorders>
              <w:top w:val="nil"/>
              <w:left w:val="nil"/>
              <w:bottom w:val="single" w:sz="4" w:space="0" w:color="auto"/>
              <w:right w:val="single" w:sz="4" w:space="0" w:color="auto"/>
            </w:tcBorders>
            <w:shd w:val="clear" w:color="auto" w:fill="auto"/>
            <w:noWrap/>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eastAsia="es-NI"/>
              </w:rPr>
              <w:t>65.8</w:t>
            </w:r>
          </w:p>
        </w:tc>
        <w:tc>
          <w:tcPr>
            <w:tcW w:w="999" w:type="dxa"/>
            <w:tcBorders>
              <w:top w:val="nil"/>
              <w:left w:val="nil"/>
              <w:bottom w:val="single" w:sz="4" w:space="0" w:color="auto"/>
              <w:right w:val="single" w:sz="4" w:space="0" w:color="auto"/>
            </w:tcBorders>
            <w:shd w:val="clear" w:color="auto" w:fill="auto"/>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eastAsia="es-NI"/>
              </w:rPr>
              <w:t>2,092,054</w:t>
            </w:r>
          </w:p>
        </w:tc>
        <w:tc>
          <w:tcPr>
            <w:tcW w:w="562" w:type="dxa"/>
            <w:tcBorders>
              <w:top w:val="nil"/>
              <w:left w:val="nil"/>
              <w:bottom w:val="single" w:sz="4" w:space="0" w:color="auto"/>
              <w:right w:val="single" w:sz="4" w:space="0" w:color="auto"/>
            </w:tcBorders>
            <w:shd w:val="clear" w:color="auto" w:fill="auto"/>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eastAsia="es-NI"/>
              </w:rPr>
              <w:t>45.3</w:t>
            </w:r>
          </w:p>
        </w:tc>
        <w:tc>
          <w:tcPr>
            <w:tcW w:w="1139" w:type="dxa"/>
            <w:tcBorders>
              <w:top w:val="nil"/>
              <w:left w:val="nil"/>
              <w:bottom w:val="single" w:sz="4" w:space="0" w:color="auto"/>
              <w:right w:val="single" w:sz="4" w:space="0" w:color="auto"/>
            </w:tcBorders>
            <w:shd w:val="clear" w:color="auto" w:fill="auto"/>
            <w:vAlign w:val="center"/>
            <w:hideMark/>
          </w:tcPr>
          <w:p w:rsidR="00046CA4" w:rsidRDefault="00046CA4" w:rsidP="00046CA4">
            <w:pPr>
              <w:spacing w:before="0" w:beforeAutospacing="0" w:after="0" w:afterAutospacing="0" w:line="240" w:lineRule="auto"/>
              <w:jc w:val="center"/>
              <w:rPr>
                <w:rFonts w:ascii="Calibri" w:hAnsi="Calibri" w:cs="Calibri"/>
                <w:color w:val="000000"/>
              </w:rPr>
            </w:pPr>
            <w:r>
              <w:rPr>
                <w:rFonts w:ascii="Calibri" w:hAnsi="Calibri" w:cs="Calibri"/>
                <w:color w:val="000000"/>
              </w:rPr>
              <w:t>2,185,778</w:t>
            </w:r>
          </w:p>
        </w:tc>
        <w:tc>
          <w:tcPr>
            <w:tcW w:w="636" w:type="dxa"/>
            <w:tcBorders>
              <w:top w:val="nil"/>
              <w:left w:val="nil"/>
              <w:bottom w:val="single" w:sz="4" w:space="0" w:color="auto"/>
              <w:right w:val="single" w:sz="4" w:space="0" w:color="auto"/>
            </w:tcBorders>
            <w:shd w:val="clear" w:color="auto" w:fill="auto"/>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eastAsia="es-NI"/>
              </w:rPr>
              <w:t>40.5</w:t>
            </w:r>
          </w:p>
        </w:tc>
        <w:tc>
          <w:tcPr>
            <w:tcW w:w="1052" w:type="dxa"/>
            <w:tcBorders>
              <w:top w:val="nil"/>
              <w:left w:val="nil"/>
              <w:bottom w:val="single" w:sz="4" w:space="0" w:color="auto"/>
              <w:right w:val="single" w:sz="4" w:space="0" w:color="auto"/>
            </w:tcBorders>
            <w:shd w:val="clear" w:color="auto" w:fill="auto"/>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eastAsia="es-NI"/>
              </w:rPr>
              <w:t>93,723.94</w:t>
            </w:r>
          </w:p>
        </w:tc>
        <w:tc>
          <w:tcPr>
            <w:tcW w:w="752" w:type="dxa"/>
            <w:tcBorders>
              <w:top w:val="nil"/>
              <w:left w:val="nil"/>
              <w:bottom w:val="single" w:sz="4" w:space="0" w:color="auto"/>
              <w:right w:val="single" w:sz="4" w:space="0" w:color="auto"/>
            </w:tcBorders>
            <w:shd w:val="clear" w:color="auto" w:fill="auto"/>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eastAsia="es-NI"/>
              </w:rPr>
              <w:t>4.5</w:t>
            </w:r>
          </w:p>
        </w:tc>
      </w:tr>
      <w:tr w:rsidR="00046CA4" w:rsidRPr="00087FA5" w:rsidTr="00046CA4">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046CA4" w:rsidRPr="00087FA5" w:rsidRDefault="00046CA4" w:rsidP="00046CA4">
            <w:pPr>
              <w:spacing w:before="0" w:beforeAutospacing="0" w:after="0" w:afterAutospacing="0" w:line="240" w:lineRule="auto"/>
              <w:jc w:val="left"/>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val="es-NI" w:eastAsia="es-NI"/>
              </w:rPr>
              <w:t>Aportaciones patronales obligatorias a la Seguridad Social</w:t>
            </w:r>
          </w:p>
        </w:tc>
        <w:tc>
          <w:tcPr>
            <w:tcW w:w="1001" w:type="dxa"/>
            <w:tcBorders>
              <w:top w:val="nil"/>
              <w:left w:val="nil"/>
              <w:bottom w:val="single" w:sz="4" w:space="0" w:color="auto"/>
              <w:right w:val="single" w:sz="4" w:space="0" w:color="auto"/>
            </w:tcBorders>
            <w:shd w:val="clear" w:color="auto" w:fill="auto"/>
            <w:noWrap/>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val="es-NI" w:eastAsia="es-NI"/>
              </w:rPr>
              <w:t>0</w:t>
            </w:r>
          </w:p>
        </w:tc>
        <w:tc>
          <w:tcPr>
            <w:tcW w:w="596" w:type="dxa"/>
            <w:tcBorders>
              <w:top w:val="nil"/>
              <w:left w:val="nil"/>
              <w:bottom w:val="single" w:sz="4" w:space="0" w:color="auto"/>
              <w:right w:val="single" w:sz="4" w:space="0" w:color="auto"/>
            </w:tcBorders>
            <w:shd w:val="clear" w:color="auto" w:fill="auto"/>
            <w:noWrap/>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eastAsia="es-NI"/>
              </w:rPr>
              <w:t>-</w:t>
            </w:r>
          </w:p>
        </w:tc>
        <w:tc>
          <w:tcPr>
            <w:tcW w:w="950" w:type="dxa"/>
            <w:tcBorders>
              <w:top w:val="nil"/>
              <w:left w:val="nil"/>
              <w:bottom w:val="single" w:sz="4" w:space="0" w:color="auto"/>
              <w:right w:val="single" w:sz="4" w:space="0" w:color="auto"/>
            </w:tcBorders>
            <w:shd w:val="clear" w:color="auto" w:fill="auto"/>
            <w:noWrap/>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val="es-NI" w:eastAsia="es-NI"/>
              </w:rPr>
              <w:t>0</w:t>
            </w:r>
          </w:p>
        </w:tc>
        <w:tc>
          <w:tcPr>
            <w:tcW w:w="669" w:type="dxa"/>
            <w:tcBorders>
              <w:top w:val="nil"/>
              <w:left w:val="nil"/>
              <w:bottom w:val="single" w:sz="4" w:space="0" w:color="auto"/>
              <w:right w:val="single" w:sz="4" w:space="0" w:color="auto"/>
            </w:tcBorders>
            <w:shd w:val="clear" w:color="auto" w:fill="auto"/>
            <w:noWrap/>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eastAsia="es-NI"/>
              </w:rPr>
              <w:t>-</w:t>
            </w:r>
          </w:p>
        </w:tc>
        <w:tc>
          <w:tcPr>
            <w:tcW w:w="999" w:type="dxa"/>
            <w:tcBorders>
              <w:top w:val="nil"/>
              <w:left w:val="nil"/>
              <w:bottom w:val="single" w:sz="4" w:space="0" w:color="auto"/>
              <w:right w:val="single" w:sz="4" w:space="0" w:color="auto"/>
            </w:tcBorders>
            <w:shd w:val="clear" w:color="auto" w:fill="auto"/>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eastAsia="es-NI"/>
              </w:rPr>
              <w:t>609,078</w:t>
            </w:r>
          </w:p>
        </w:tc>
        <w:tc>
          <w:tcPr>
            <w:tcW w:w="562" w:type="dxa"/>
            <w:tcBorders>
              <w:top w:val="nil"/>
              <w:left w:val="nil"/>
              <w:bottom w:val="single" w:sz="4" w:space="0" w:color="auto"/>
              <w:right w:val="single" w:sz="4" w:space="0" w:color="auto"/>
            </w:tcBorders>
            <w:shd w:val="clear" w:color="auto" w:fill="auto"/>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eastAsia="es-NI"/>
              </w:rPr>
              <w:t>13.2</w:t>
            </w:r>
          </w:p>
        </w:tc>
        <w:tc>
          <w:tcPr>
            <w:tcW w:w="1139" w:type="dxa"/>
            <w:tcBorders>
              <w:top w:val="nil"/>
              <w:left w:val="nil"/>
              <w:bottom w:val="single" w:sz="4" w:space="0" w:color="auto"/>
              <w:right w:val="single" w:sz="4" w:space="0" w:color="auto"/>
            </w:tcBorders>
            <w:shd w:val="clear" w:color="auto" w:fill="auto"/>
            <w:vAlign w:val="center"/>
            <w:hideMark/>
          </w:tcPr>
          <w:p w:rsidR="00046CA4" w:rsidRDefault="00046CA4" w:rsidP="00046CA4">
            <w:pPr>
              <w:jc w:val="center"/>
              <w:rPr>
                <w:rFonts w:ascii="Calibri" w:hAnsi="Calibri" w:cs="Calibri"/>
                <w:color w:val="000000"/>
              </w:rPr>
            </w:pPr>
            <w:r>
              <w:rPr>
                <w:rFonts w:ascii="Calibri" w:hAnsi="Calibri" w:cs="Calibri"/>
                <w:color w:val="000000"/>
              </w:rPr>
              <w:t>652,037</w:t>
            </w:r>
          </w:p>
        </w:tc>
        <w:tc>
          <w:tcPr>
            <w:tcW w:w="636" w:type="dxa"/>
            <w:tcBorders>
              <w:top w:val="nil"/>
              <w:left w:val="nil"/>
              <w:bottom w:val="single" w:sz="4" w:space="0" w:color="auto"/>
              <w:right w:val="single" w:sz="4" w:space="0" w:color="auto"/>
            </w:tcBorders>
            <w:shd w:val="clear" w:color="auto" w:fill="auto"/>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eastAsia="es-NI"/>
              </w:rPr>
              <w:t>12.1</w:t>
            </w:r>
          </w:p>
        </w:tc>
        <w:tc>
          <w:tcPr>
            <w:tcW w:w="1052" w:type="dxa"/>
            <w:tcBorders>
              <w:top w:val="nil"/>
              <w:left w:val="nil"/>
              <w:bottom w:val="single" w:sz="4" w:space="0" w:color="auto"/>
              <w:right w:val="single" w:sz="4" w:space="0" w:color="auto"/>
            </w:tcBorders>
            <w:shd w:val="clear" w:color="auto" w:fill="auto"/>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eastAsia="es-NI"/>
              </w:rPr>
              <w:t>42,958.62</w:t>
            </w:r>
          </w:p>
        </w:tc>
        <w:tc>
          <w:tcPr>
            <w:tcW w:w="752" w:type="dxa"/>
            <w:tcBorders>
              <w:top w:val="nil"/>
              <w:left w:val="nil"/>
              <w:bottom w:val="single" w:sz="4" w:space="0" w:color="auto"/>
              <w:right w:val="single" w:sz="4" w:space="0" w:color="auto"/>
            </w:tcBorders>
            <w:shd w:val="clear" w:color="auto" w:fill="auto"/>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eastAsia="es-NI"/>
              </w:rPr>
              <w:t>7.1</w:t>
            </w:r>
          </w:p>
        </w:tc>
      </w:tr>
      <w:tr w:rsidR="00046CA4" w:rsidRPr="00087FA5" w:rsidTr="00046CA4">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046CA4" w:rsidRPr="00087FA5" w:rsidRDefault="00046CA4" w:rsidP="00046CA4">
            <w:pPr>
              <w:spacing w:before="0" w:beforeAutospacing="0" w:after="0" w:afterAutospacing="0" w:line="240" w:lineRule="auto"/>
              <w:jc w:val="left"/>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val="es-NI" w:eastAsia="es-NI"/>
              </w:rPr>
              <w:t>Aportaciones obligatorias de los empleados a la Seguridad Social</w:t>
            </w:r>
          </w:p>
        </w:tc>
        <w:tc>
          <w:tcPr>
            <w:tcW w:w="1001" w:type="dxa"/>
            <w:tcBorders>
              <w:top w:val="nil"/>
              <w:left w:val="nil"/>
              <w:bottom w:val="single" w:sz="4" w:space="0" w:color="auto"/>
              <w:right w:val="single" w:sz="4" w:space="0" w:color="auto"/>
            </w:tcBorders>
            <w:shd w:val="clear" w:color="auto" w:fill="auto"/>
            <w:noWrap/>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val="es-NI" w:eastAsia="es-NI"/>
              </w:rPr>
              <w:t>0</w:t>
            </w:r>
          </w:p>
        </w:tc>
        <w:tc>
          <w:tcPr>
            <w:tcW w:w="596" w:type="dxa"/>
            <w:tcBorders>
              <w:top w:val="nil"/>
              <w:left w:val="nil"/>
              <w:bottom w:val="single" w:sz="4" w:space="0" w:color="auto"/>
              <w:right w:val="single" w:sz="4" w:space="0" w:color="auto"/>
            </w:tcBorders>
            <w:shd w:val="clear" w:color="auto" w:fill="auto"/>
            <w:noWrap/>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eastAsia="es-NI"/>
              </w:rPr>
              <w:t>-</w:t>
            </w:r>
          </w:p>
        </w:tc>
        <w:tc>
          <w:tcPr>
            <w:tcW w:w="950" w:type="dxa"/>
            <w:tcBorders>
              <w:top w:val="nil"/>
              <w:left w:val="nil"/>
              <w:bottom w:val="single" w:sz="4" w:space="0" w:color="auto"/>
              <w:right w:val="single" w:sz="4" w:space="0" w:color="auto"/>
            </w:tcBorders>
            <w:shd w:val="clear" w:color="auto" w:fill="auto"/>
            <w:noWrap/>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val="es-NI" w:eastAsia="es-NI"/>
              </w:rPr>
              <w:t>0</w:t>
            </w:r>
          </w:p>
        </w:tc>
        <w:tc>
          <w:tcPr>
            <w:tcW w:w="669" w:type="dxa"/>
            <w:tcBorders>
              <w:top w:val="nil"/>
              <w:left w:val="nil"/>
              <w:bottom w:val="single" w:sz="4" w:space="0" w:color="auto"/>
              <w:right w:val="single" w:sz="4" w:space="0" w:color="auto"/>
            </w:tcBorders>
            <w:shd w:val="clear" w:color="auto" w:fill="auto"/>
            <w:noWrap/>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eastAsia="es-NI"/>
              </w:rPr>
              <w:t>-</w:t>
            </w:r>
          </w:p>
        </w:tc>
        <w:tc>
          <w:tcPr>
            <w:tcW w:w="999" w:type="dxa"/>
            <w:tcBorders>
              <w:top w:val="nil"/>
              <w:left w:val="nil"/>
              <w:bottom w:val="single" w:sz="4" w:space="0" w:color="auto"/>
              <w:right w:val="single" w:sz="4" w:space="0" w:color="auto"/>
            </w:tcBorders>
            <w:shd w:val="clear" w:color="auto" w:fill="auto"/>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eastAsia="es-NI"/>
              </w:rPr>
              <w:t>205,799</w:t>
            </w:r>
          </w:p>
        </w:tc>
        <w:tc>
          <w:tcPr>
            <w:tcW w:w="562" w:type="dxa"/>
            <w:tcBorders>
              <w:top w:val="nil"/>
              <w:left w:val="nil"/>
              <w:bottom w:val="single" w:sz="4" w:space="0" w:color="auto"/>
              <w:right w:val="single" w:sz="4" w:space="0" w:color="auto"/>
            </w:tcBorders>
            <w:shd w:val="clear" w:color="auto" w:fill="auto"/>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eastAsia="es-NI"/>
              </w:rPr>
              <w:t>4.5</w:t>
            </w:r>
          </w:p>
        </w:tc>
        <w:tc>
          <w:tcPr>
            <w:tcW w:w="1139" w:type="dxa"/>
            <w:tcBorders>
              <w:top w:val="nil"/>
              <w:left w:val="nil"/>
              <w:bottom w:val="single" w:sz="4" w:space="0" w:color="auto"/>
              <w:right w:val="single" w:sz="4" w:space="0" w:color="auto"/>
            </w:tcBorders>
            <w:shd w:val="clear" w:color="auto" w:fill="auto"/>
            <w:vAlign w:val="center"/>
            <w:hideMark/>
          </w:tcPr>
          <w:p w:rsidR="00046CA4" w:rsidRDefault="00046CA4" w:rsidP="00046CA4">
            <w:pPr>
              <w:jc w:val="center"/>
              <w:rPr>
                <w:rFonts w:ascii="Calibri" w:hAnsi="Calibri" w:cs="Calibri"/>
                <w:color w:val="000000"/>
              </w:rPr>
            </w:pPr>
            <w:r>
              <w:rPr>
                <w:rFonts w:ascii="Calibri" w:hAnsi="Calibri" w:cs="Calibri"/>
                <w:color w:val="000000"/>
              </w:rPr>
              <w:t>220,283</w:t>
            </w:r>
          </w:p>
        </w:tc>
        <w:tc>
          <w:tcPr>
            <w:tcW w:w="636" w:type="dxa"/>
            <w:tcBorders>
              <w:top w:val="nil"/>
              <w:left w:val="nil"/>
              <w:bottom w:val="single" w:sz="4" w:space="0" w:color="auto"/>
              <w:right w:val="single" w:sz="4" w:space="0" w:color="auto"/>
            </w:tcBorders>
            <w:shd w:val="clear" w:color="auto" w:fill="auto"/>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eastAsia="es-NI"/>
              </w:rPr>
              <w:t>4.1</w:t>
            </w:r>
          </w:p>
        </w:tc>
        <w:tc>
          <w:tcPr>
            <w:tcW w:w="1052" w:type="dxa"/>
            <w:tcBorders>
              <w:top w:val="nil"/>
              <w:left w:val="nil"/>
              <w:bottom w:val="single" w:sz="4" w:space="0" w:color="auto"/>
              <w:right w:val="single" w:sz="4" w:space="0" w:color="auto"/>
            </w:tcBorders>
            <w:shd w:val="clear" w:color="auto" w:fill="auto"/>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eastAsia="es-NI"/>
              </w:rPr>
              <w:t>14,483.33</w:t>
            </w:r>
          </w:p>
        </w:tc>
        <w:tc>
          <w:tcPr>
            <w:tcW w:w="752" w:type="dxa"/>
            <w:tcBorders>
              <w:top w:val="nil"/>
              <w:left w:val="nil"/>
              <w:bottom w:val="single" w:sz="4" w:space="0" w:color="auto"/>
              <w:right w:val="single" w:sz="4" w:space="0" w:color="auto"/>
            </w:tcBorders>
            <w:shd w:val="clear" w:color="auto" w:fill="auto"/>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eastAsia="es-NI"/>
              </w:rPr>
              <w:t>7.0</w:t>
            </w:r>
          </w:p>
        </w:tc>
      </w:tr>
      <w:tr w:rsidR="00046CA4" w:rsidRPr="00087FA5" w:rsidTr="00046CA4">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046CA4" w:rsidRPr="00087FA5" w:rsidRDefault="00046CA4" w:rsidP="00046CA4">
            <w:pPr>
              <w:spacing w:before="0" w:beforeAutospacing="0" w:after="0" w:afterAutospacing="0" w:line="240" w:lineRule="auto"/>
              <w:jc w:val="left"/>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val="es-NI" w:eastAsia="es-NI"/>
              </w:rPr>
              <w:t>Fondos de hogares</w:t>
            </w:r>
          </w:p>
        </w:tc>
        <w:tc>
          <w:tcPr>
            <w:tcW w:w="1001" w:type="dxa"/>
            <w:tcBorders>
              <w:top w:val="nil"/>
              <w:left w:val="nil"/>
              <w:bottom w:val="single" w:sz="4" w:space="0" w:color="auto"/>
              <w:right w:val="single" w:sz="4" w:space="0" w:color="auto"/>
            </w:tcBorders>
            <w:shd w:val="clear" w:color="auto" w:fill="auto"/>
            <w:noWrap/>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val="es-NI" w:eastAsia="es-NI"/>
              </w:rPr>
              <w:t>153,972</w:t>
            </w:r>
          </w:p>
        </w:tc>
        <w:tc>
          <w:tcPr>
            <w:tcW w:w="596" w:type="dxa"/>
            <w:tcBorders>
              <w:top w:val="nil"/>
              <w:left w:val="nil"/>
              <w:bottom w:val="single" w:sz="4" w:space="0" w:color="auto"/>
              <w:right w:val="single" w:sz="4" w:space="0" w:color="auto"/>
            </w:tcBorders>
            <w:shd w:val="clear" w:color="auto" w:fill="auto"/>
            <w:noWrap/>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eastAsia="es-NI"/>
              </w:rPr>
              <w:t>4.3</w:t>
            </w:r>
          </w:p>
        </w:tc>
        <w:tc>
          <w:tcPr>
            <w:tcW w:w="950" w:type="dxa"/>
            <w:tcBorders>
              <w:top w:val="nil"/>
              <w:left w:val="nil"/>
              <w:bottom w:val="single" w:sz="4" w:space="0" w:color="auto"/>
              <w:right w:val="single" w:sz="4" w:space="0" w:color="auto"/>
            </w:tcBorders>
            <w:shd w:val="clear" w:color="auto" w:fill="auto"/>
            <w:noWrap/>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val="es-NI" w:eastAsia="es-NI"/>
              </w:rPr>
              <w:t>184,875</w:t>
            </w:r>
          </w:p>
        </w:tc>
        <w:tc>
          <w:tcPr>
            <w:tcW w:w="669" w:type="dxa"/>
            <w:tcBorders>
              <w:top w:val="nil"/>
              <w:left w:val="nil"/>
              <w:bottom w:val="single" w:sz="4" w:space="0" w:color="auto"/>
              <w:right w:val="single" w:sz="4" w:space="0" w:color="auto"/>
            </w:tcBorders>
            <w:shd w:val="clear" w:color="auto" w:fill="auto"/>
            <w:noWrap/>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eastAsia="es-NI"/>
              </w:rPr>
              <w:t>4.2</w:t>
            </w:r>
          </w:p>
        </w:tc>
        <w:tc>
          <w:tcPr>
            <w:tcW w:w="999" w:type="dxa"/>
            <w:tcBorders>
              <w:top w:val="nil"/>
              <w:left w:val="nil"/>
              <w:bottom w:val="single" w:sz="4" w:space="0" w:color="auto"/>
              <w:right w:val="single" w:sz="4" w:space="0" w:color="auto"/>
            </w:tcBorders>
            <w:shd w:val="clear" w:color="auto" w:fill="auto"/>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eastAsia="es-NI"/>
              </w:rPr>
              <w:t>161,396</w:t>
            </w:r>
          </w:p>
        </w:tc>
        <w:tc>
          <w:tcPr>
            <w:tcW w:w="562" w:type="dxa"/>
            <w:tcBorders>
              <w:top w:val="nil"/>
              <w:left w:val="nil"/>
              <w:bottom w:val="single" w:sz="4" w:space="0" w:color="auto"/>
              <w:right w:val="single" w:sz="4" w:space="0" w:color="auto"/>
            </w:tcBorders>
            <w:shd w:val="clear" w:color="auto" w:fill="auto"/>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eastAsia="es-NI"/>
              </w:rPr>
              <w:t>3.5</w:t>
            </w:r>
          </w:p>
        </w:tc>
        <w:tc>
          <w:tcPr>
            <w:tcW w:w="1139" w:type="dxa"/>
            <w:tcBorders>
              <w:top w:val="nil"/>
              <w:left w:val="nil"/>
              <w:bottom w:val="single" w:sz="4" w:space="0" w:color="auto"/>
              <w:right w:val="single" w:sz="4" w:space="0" w:color="auto"/>
            </w:tcBorders>
            <w:shd w:val="clear" w:color="auto" w:fill="auto"/>
            <w:vAlign w:val="center"/>
            <w:hideMark/>
          </w:tcPr>
          <w:p w:rsidR="00046CA4" w:rsidRDefault="00046CA4" w:rsidP="00046CA4">
            <w:pPr>
              <w:jc w:val="center"/>
              <w:rPr>
                <w:rFonts w:ascii="Calibri" w:hAnsi="Calibri" w:cs="Calibri"/>
                <w:color w:val="000000"/>
              </w:rPr>
            </w:pPr>
            <w:r>
              <w:rPr>
                <w:rFonts w:ascii="Calibri" w:hAnsi="Calibri" w:cs="Calibri"/>
                <w:color w:val="000000"/>
              </w:rPr>
              <w:t>184,567</w:t>
            </w:r>
          </w:p>
        </w:tc>
        <w:tc>
          <w:tcPr>
            <w:tcW w:w="636" w:type="dxa"/>
            <w:tcBorders>
              <w:top w:val="nil"/>
              <w:left w:val="nil"/>
              <w:bottom w:val="single" w:sz="4" w:space="0" w:color="auto"/>
              <w:right w:val="single" w:sz="4" w:space="0" w:color="auto"/>
            </w:tcBorders>
            <w:shd w:val="clear" w:color="auto" w:fill="auto"/>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eastAsia="es-NI"/>
              </w:rPr>
              <w:t>3.4</w:t>
            </w:r>
          </w:p>
        </w:tc>
        <w:tc>
          <w:tcPr>
            <w:tcW w:w="1052" w:type="dxa"/>
            <w:tcBorders>
              <w:top w:val="nil"/>
              <w:left w:val="nil"/>
              <w:bottom w:val="single" w:sz="4" w:space="0" w:color="auto"/>
              <w:right w:val="single" w:sz="4" w:space="0" w:color="auto"/>
            </w:tcBorders>
            <w:shd w:val="clear" w:color="auto" w:fill="auto"/>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eastAsia="es-NI"/>
              </w:rPr>
              <w:t>23,171.16</w:t>
            </w:r>
          </w:p>
        </w:tc>
        <w:tc>
          <w:tcPr>
            <w:tcW w:w="752" w:type="dxa"/>
            <w:tcBorders>
              <w:top w:val="nil"/>
              <w:left w:val="nil"/>
              <w:bottom w:val="single" w:sz="4" w:space="0" w:color="auto"/>
              <w:right w:val="single" w:sz="4" w:space="0" w:color="auto"/>
            </w:tcBorders>
            <w:shd w:val="clear" w:color="auto" w:fill="auto"/>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eastAsia="es-NI"/>
              </w:rPr>
              <w:t>14.4</w:t>
            </w:r>
          </w:p>
        </w:tc>
      </w:tr>
      <w:tr w:rsidR="00046CA4" w:rsidRPr="00087FA5" w:rsidTr="00046CA4">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046CA4" w:rsidRPr="00087FA5" w:rsidRDefault="00046CA4" w:rsidP="00046CA4">
            <w:pPr>
              <w:spacing w:before="0" w:beforeAutospacing="0" w:after="0" w:afterAutospacing="0" w:line="240" w:lineRule="auto"/>
              <w:jc w:val="left"/>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val="es-NI" w:eastAsia="es-NI"/>
              </w:rPr>
              <w:t xml:space="preserve">Fondo Mundial para la Lucha contra el </w:t>
            </w:r>
            <w:r w:rsidRPr="00087FA5">
              <w:rPr>
                <w:rFonts w:ascii="Calibri" w:eastAsia="Times New Roman" w:hAnsi="Calibri" w:cs="Calibri"/>
                <w:color w:val="000000"/>
                <w:sz w:val="20"/>
                <w:szCs w:val="20"/>
                <w:lang w:val="es-NI" w:eastAsia="es-NI"/>
              </w:rPr>
              <w:lastRenderedPageBreak/>
              <w:t>Sida, la Tuberculosis y la Malaria</w:t>
            </w:r>
          </w:p>
        </w:tc>
        <w:tc>
          <w:tcPr>
            <w:tcW w:w="1001" w:type="dxa"/>
            <w:tcBorders>
              <w:top w:val="nil"/>
              <w:left w:val="nil"/>
              <w:bottom w:val="single" w:sz="4" w:space="0" w:color="auto"/>
              <w:right w:val="single" w:sz="4" w:space="0" w:color="auto"/>
            </w:tcBorders>
            <w:shd w:val="clear" w:color="auto" w:fill="auto"/>
            <w:noWrap/>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val="es-NI" w:eastAsia="es-NI"/>
              </w:rPr>
              <w:lastRenderedPageBreak/>
              <w:t>1,382,891</w:t>
            </w:r>
          </w:p>
        </w:tc>
        <w:tc>
          <w:tcPr>
            <w:tcW w:w="596" w:type="dxa"/>
            <w:tcBorders>
              <w:top w:val="nil"/>
              <w:left w:val="nil"/>
              <w:bottom w:val="single" w:sz="4" w:space="0" w:color="auto"/>
              <w:right w:val="single" w:sz="4" w:space="0" w:color="auto"/>
            </w:tcBorders>
            <w:shd w:val="clear" w:color="auto" w:fill="auto"/>
            <w:noWrap/>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eastAsia="es-NI"/>
              </w:rPr>
              <w:t>39.0</w:t>
            </w:r>
          </w:p>
        </w:tc>
        <w:tc>
          <w:tcPr>
            <w:tcW w:w="950" w:type="dxa"/>
            <w:tcBorders>
              <w:top w:val="nil"/>
              <w:left w:val="nil"/>
              <w:bottom w:val="single" w:sz="4" w:space="0" w:color="auto"/>
              <w:right w:val="single" w:sz="4" w:space="0" w:color="auto"/>
            </w:tcBorders>
            <w:shd w:val="clear" w:color="auto" w:fill="auto"/>
            <w:noWrap/>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val="es-NI" w:eastAsia="es-NI"/>
              </w:rPr>
              <w:t>1,142,167</w:t>
            </w:r>
          </w:p>
        </w:tc>
        <w:tc>
          <w:tcPr>
            <w:tcW w:w="669" w:type="dxa"/>
            <w:tcBorders>
              <w:top w:val="nil"/>
              <w:left w:val="nil"/>
              <w:bottom w:val="single" w:sz="4" w:space="0" w:color="auto"/>
              <w:right w:val="single" w:sz="4" w:space="0" w:color="auto"/>
            </w:tcBorders>
            <w:shd w:val="clear" w:color="auto" w:fill="auto"/>
            <w:noWrap/>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eastAsia="es-NI"/>
              </w:rPr>
              <w:t>26.1</w:t>
            </w:r>
          </w:p>
        </w:tc>
        <w:tc>
          <w:tcPr>
            <w:tcW w:w="999" w:type="dxa"/>
            <w:tcBorders>
              <w:top w:val="nil"/>
              <w:left w:val="nil"/>
              <w:bottom w:val="single" w:sz="4" w:space="0" w:color="auto"/>
              <w:right w:val="single" w:sz="4" w:space="0" w:color="auto"/>
            </w:tcBorders>
            <w:shd w:val="clear" w:color="auto" w:fill="auto"/>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eastAsia="es-NI"/>
              </w:rPr>
              <w:t>1,387,132</w:t>
            </w:r>
          </w:p>
        </w:tc>
        <w:tc>
          <w:tcPr>
            <w:tcW w:w="562" w:type="dxa"/>
            <w:tcBorders>
              <w:top w:val="nil"/>
              <w:left w:val="nil"/>
              <w:bottom w:val="single" w:sz="4" w:space="0" w:color="auto"/>
              <w:right w:val="single" w:sz="4" w:space="0" w:color="auto"/>
            </w:tcBorders>
            <w:shd w:val="clear" w:color="auto" w:fill="auto"/>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eastAsia="es-NI"/>
              </w:rPr>
              <w:t>30.0</w:t>
            </w:r>
          </w:p>
        </w:tc>
        <w:tc>
          <w:tcPr>
            <w:tcW w:w="1139" w:type="dxa"/>
            <w:tcBorders>
              <w:top w:val="nil"/>
              <w:left w:val="nil"/>
              <w:bottom w:val="single" w:sz="4" w:space="0" w:color="auto"/>
              <w:right w:val="single" w:sz="4" w:space="0" w:color="auto"/>
            </w:tcBorders>
            <w:shd w:val="clear" w:color="auto" w:fill="auto"/>
            <w:vAlign w:val="center"/>
            <w:hideMark/>
          </w:tcPr>
          <w:p w:rsidR="00046CA4" w:rsidRDefault="00046CA4" w:rsidP="00046CA4">
            <w:pPr>
              <w:jc w:val="center"/>
              <w:rPr>
                <w:rFonts w:ascii="Calibri" w:hAnsi="Calibri" w:cs="Calibri"/>
                <w:color w:val="000000"/>
              </w:rPr>
            </w:pPr>
            <w:r>
              <w:rPr>
                <w:rFonts w:ascii="Calibri" w:hAnsi="Calibri" w:cs="Calibri"/>
                <w:color w:val="000000"/>
              </w:rPr>
              <w:t>1,954,819</w:t>
            </w:r>
          </w:p>
        </w:tc>
        <w:tc>
          <w:tcPr>
            <w:tcW w:w="636" w:type="dxa"/>
            <w:tcBorders>
              <w:top w:val="nil"/>
              <w:left w:val="nil"/>
              <w:bottom w:val="single" w:sz="4" w:space="0" w:color="auto"/>
              <w:right w:val="single" w:sz="4" w:space="0" w:color="auto"/>
            </w:tcBorders>
            <w:shd w:val="clear" w:color="auto" w:fill="auto"/>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eastAsia="es-NI"/>
              </w:rPr>
              <w:t>36.2</w:t>
            </w:r>
          </w:p>
        </w:tc>
        <w:tc>
          <w:tcPr>
            <w:tcW w:w="1052" w:type="dxa"/>
            <w:tcBorders>
              <w:top w:val="nil"/>
              <w:left w:val="nil"/>
              <w:bottom w:val="single" w:sz="4" w:space="0" w:color="auto"/>
              <w:right w:val="single" w:sz="4" w:space="0" w:color="auto"/>
            </w:tcBorders>
            <w:shd w:val="clear" w:color="auto" w:fill="auto"/>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eastAsia="es-NI"/>
              </w:rPr>
              <w:t>567,687.26</w:t>
            </w:r>
          </w:p>
        </w:tc>
        <w:tc>
          <w:tcPr>
            <w:tcW w:w="752" w:type="dxa"/>
            <w:tcBorders>
              <w:top w:val="nil"/>
              <w:left w:val="nil"/>
              <w:bottom w:val="single" w:sz="4" w:space="0" w:color="auto"/>
              <w:right w:val="single" w:sz="4" w:space="0" w:color="auto"/>
            </w:tcBorders>
            <w:shd w:val="clear" w:color="auto" w:fill="auto"/>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eastAsia="es-NI"/>
              </w:rPr>
              <w:t>40.9</w:t>
            </w:r>
          </w:p>
        </w:tc>
      </w:tr>
      <w:tr w:rsidR="00046CA4" w:rsidRPr="00087FA5" w:rsidTr="00046CA4">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046CA4" w:rsidRPr="00087FA5" w:rsidRDefault="00046CA4" w:rsidP="00046CA4">
            <w:pPr>
              <w:spacing w:before="0" w:beforeAutospacing="0" w:after="0" w:afterAutospacing="0" w:line="240" w:lineRule="auto"/>
              <w:jc w:val="left"/>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val="es-NI" w:eastAsia="es-NI"/>
              </w:rPr>
              <w:t>Otras organizaciones y fundaciones internac</w:t>
            </w:r>
            <w:r w:rsidR="00923F96">
              <w:rPr>
                <w:rFonts w:ascii="Calibri" w:eastAsia="Times New Roman" w:hAnsi="Calibri" w:cs="Calibri"/>
                <w:color w:val="000000"/>
                <w:sz w:val="20"/>
                <w:szCs w:val="20"/>
                <w:lang w:val="es-NI" w:eastAsia="es-NI"/>
              </w:rPr>
              <w:t xml:space="preserve">ionales sin fines de lucro </w:t>
            </w:r>
          </w:p>
        </w:tc>
        <w:tc>
          <w:tcPr>
            <w:tcW w:w="1001" w:type="dxa"/>
            <w:tcBorders>
              <w:top w:val="nil"/>
              <w:left w:val="nil"/>
              <w:bottom w:val="single" w:sz="4" w:space="0" w:color="auto"/>
              <w:right w:val="single" w:sz="4" w:space="0" w:color="auto"/>
            </w:tcBorders>
            <w:shd w:val="clear" w:color="auto" w:fill="auto"/>
            <w:noWrap/>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val="es-NI" w:eastAsia="es-NI"/>
              </w:rPr>
              <w:t>170,930</w:t>
            </w:r>
          </w:p>
        </w:tc>
        <w:tc>
          <w:tcPr>
            <w:tcW w:w="596" w:type="dxa"/>
            <w:tcBorders>
              <w:top w:val="nil"/>
              <w:left w:val="nil"/>
              <w:bottom w:val="single" w:sz="4" w:space="0" w:color="auto"/>
              <w:right w:val="single" w:sz="4" w:space="0" w:color="auto"/>
            </w:tcBorders>
            <w:shd w:val="clear" w:color="auto" w:fill="auto"/>
            <w:noWrap/>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val="es-NI" w:eastAsia="es-NI"/>
              </w:rPr>
              <w:t>4.8</w:t>
            </w:r>
          </w:p>
        </w:tc>
        <w:tc>
          <w:tcPr>
            <w:tcW w:w="950" w:type="dxa"/>
            <w:tcBorders>
              <w:top w:val="nil"/>
              <w:left w:val="nil"/>
              <w:bottom w:val="single" w:sz="4" w:space="0" w:color="auto"/>
              <w:right w:val="single" w:sz="4" w:space="0" w:color="auto"/>
            </w:tcBorders>
            <w:shd w:val="clear" w:color="auto" w:fill="auto"/>
            <w:noWrap/>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val="es-NI" w:eastAsia="es-NI"/>
              </w:rPr>
              <w:t>173,679</w:t>
            </w:r>
          </w:p>
        </w:tc>
        <w:tc>
          <w:tcPr>
            <w:tcW w:w="669" w:type="dxa"/>
            <w:tcBorders>
              <w:top w:val="nil"/>
              <w:left w:val="nil"/>
              <w:bottom w:val="single" w:sz="4" w:space="0" w:color="auto"/>
              <w:right w:val="single" w:sz="4" w:space="0" w:color="auto"/>
            </w:tcBorders>
            <w:shd w:val="clear" w:color="auto" w:fill="auto"/>
            <w:noWrap/>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val="es-NI" w:eastAsia="es-NI"/>
              </w:rPr>
              <w:t>4.0</w:t>
            </w:r>
          </w:p>
        </w:tc>
        <w:tc>
          <w:tcPr>
            <w:tcW w:w="999" w:type="dxa"/>
            <w:tcBorders>
              <w:top w:val="nil"/>
              <w:left w:val="nil"/>
              <w:bottom w:val="single" w:sz="4" w:space="0" w:color="auto"/>
              <w:right w:val="single" w:sz="4" w:space="0" w:color="auto"/>
            </w:tcBorders>
            <w:shd w:val="clear" w:color="auto" w:fill="auto"/>
            <w:noWrap/>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val="es-NI" w:eastAsia="es-NI"/>
              </w:rPr>
              <w:t>162,237</w:t>
            </w:r>
          </w:p>
        </w:tc>
        <w:tc>
          <w:tcPr>
            <w:tcW w:w="562" w:type="dxa"/>
            <w:tcBorders>
              <w:top w:val="nil"/>
              <w:left w:val="nil"/>
              <w:bottom w:val="single" w:sz="4" w:space="0" w:color="auto"/>
              <w:right w:val="single" w:sz="4" w:space="0" w:color="auto"/>
            </w:tcBorders>
            <w:shd w:val="clear" w:color="auto" w:fill="auto"/>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val="es-NI" w:eastAsia="es-NI"/>
              </w:rPr>
              <w:t>3.5</w:t>
            </w:r>
          </w:p>
        </w:tc>
        <w:tc>
          <w:tcPr>
            <w:tcW w:w="1139" w:type="dxa"/>
            <w:tcBorders>
              <w:top w:val="nil"/>
              <w:left w:val="nil"/>
              <w:bottom w:val="single" w:sz="4" w:space="0" w:color="auto"/>
              <w:right w:val="single" w:sz="4" w:space="0" w:color="auto"/>
            </w:tcBorders>
            <w:shd w:val="clear" w:color="auto" w:fill="auto"/>
            <w:noWrap/>
            <w:vAlign w:val="center"/>
            <w:hideMark/>
          </w:tcPr>
          <w:p w:rsidR="00046CA4" w:rsidRPr="00046CA4" w:rsidRDefault="00046CA4" w:rsidP="00046CA4">
            <w:pPr>
              <w:jc w:val="center"/>
              <w:rPr>
                <w:rFonts w:ascii="Calibri" w:eastAsia="Times New Roman" w:hAnsi="Calibri" w:cs="Calibri"/>
                <w:color w:val="000000"/>
                <w:sz w:val="20"/>
                <w:szCs w:val="20"/>
                <w:lang w:val="es-NI" w:eastAsia="es-NI"/>
              </w:rPr>
            </w:pPr>
            <w:r w:rsidRPr="00046CA4">
              <w:rPr>
                <w:rFonts w:ascii="Calibri" w:eastAsia="Times New Roman" w:hAnsi="Calibri" w:cs="Calibri"/>
                <w:color w:val="000000"/>
                <w:sz w:val="20"/>
                <w:szCs w:val="20"/>
                <w:lang w:val="es-NI" w:eastAsia="es-NI"/>
              </w:rPr>
              <w:t>200,459</w:t>
            </w:r>
          </w:p>
        </w:tc>
        <w:tc>
          <w:tcPr>
            <w:tcW w:w="636" w:type="dxa"/>
            <w:tcBorders>
              <w:top w:val="nil"/>
              <w:left w:val="nil"/>
              <w:bottom w:val="single" w:sz="4" w:space="0" w:color="auto"/>
              <w:right w:val="single" w:sz="4" w:space="0" w:color="auto"/>
            </w:tcBorders>
            <w:shd w:val="clear" w:color="auto" w:fill="auto"/>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val="es-NI" w:eastAsia="es-NI"/>
              </w:rPr>
              <w:t>3.7</w:t>
            </w:r>
          </w:p>
        </w:tc>
        <w:tc>
          <w:tcPr>
            <w:tcW w:w="1052" w:type="dxa"/>
            <w:tcBorders>
              <w:top w:val="nil"/>
              <w:left w:val="nil"/>
              <w:bottom w:val="single" w:sz="4" w:space="0" w:color="auto"/>
              <w:right w:val="single" w:sz="4" w:space="0" w:color="auto"/>
            </w:tcBorders>
            <w:shd w:val="clear" w:color="auto" w:fill="auto"/>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val="es-NI" w:eastAsia="es-NI"/>
              </w:rPr>
              <w:t>38,222.10</w:t>
            </w:r>
          </w:p>
        </w:tc>
        <w:tc>
          <w:tcPr>
            <w:tcW w:w="752" w:type="dxa"/>
            <w:tcBorders>
              <w:top w:val="nil"/>
              <w:left w:val="nil"/>
              <w:bottom w:val="single" w:sz="4" w:space="0" w:color="auto"/>
              <w:right w:val="single" w:sz="4" w:space="0" w:color="auto"/>
            </w:tcBorders>
            <w:shd w:val="clear" w:color="auto" w:fill="auto"/>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val="es-NI" w:eastAsia="es-NI"/>
              </w:rPr>
              <w:t>23.6</w:t>
            </w:r>
          </w:p>
        </w:tc>
      </w:tr>
      <w:tr w:rsidR="00046CA4" w:rsidRPr="00087FA5" w:rsidTr="00046CA4">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046CA4" w:rsidRPr="00087FA5" w:rsidRDefault="00046CA4" w:rsidP="00046CA4">
            <w:pPr>
              <w:spacing w:before="0" w:beforeAutospacing="0" w:after="0" w:afterAutospacing="0" w:line="240" w:lineRule="auto"/>
              <w:jc w:val="left"/>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val="es-NI" w:eastAsia="es-NI"/>
              </w:rPr>
              <w:t>TOTAL</w:t>
            </w:r>
          </w:p>
        </w:tc>
        <w:tc>
          <w:tcPr>
            <w:tcW w:w="1001" w:type="dxa"/>
            <w:tcBorders>
              <w:top w:val="nil"/>
              <w:left w:val="nil"/>
              <w:bottom w:val="single" w:sz="4" w:space="0" w:color="auto"/>
              <w:right w:val="single" w:sz="4" w:space="0" w:color="auto"/>
            </w:tcBorders>
            <w:shd w:val="clear" w:color="auto" w:fill="auto"/>
            <w:noWrap/>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val="es-NI" w:eastAsia="es-NI"/>
              </w:rPr>
              <w:t>3,542,093</w:t>
            </w:r>
          </w:p>
        </w:tc>
        <w:tc>
          <w:tcPr>
            <w:tcW w:w="596" w:type="dxa"/>
            <w:tcBorders>
              <w:top w:val="nil"/>
              <w:left w:val="nil"/>
              <w:bottom w:val="single" w:sz="4" w:space="0" w:color="auto"/>
              <w:right w:val="single" w:sz="4" w:space="0" w:color="auto"/>
            </w:tcBorders>
            <w:shd w:val="clear" w:color="auto" w:fill="auto"/>
            <w:noWrap/>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val="es-NI" w:eastAsia="es-NI"/>
              </w:rPr>
              <w:t>100.0</w:t>
            </w:r>
          </w:p>
        </w:tc>
        <w:tc>
          <w:tcPr>
            <w:tcW w:w="950" w:type="dxa"/>
            <w:tcBorders>
              <w:top w:val="nil"/>
              <w:left w:val="nil"/>
              <w:bottom w:val="single" w:sz="4" w:space="0" w:color="auto"/>
              <w:right w:val="single" w:sz="4" w:space="0" w:color="auto"/>
            </w:tcBorders>
            <w:shd w:val="clear" w:color="auto" w:fill="auto"/>
            <w:noWrap/>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val="es-NI" w:eastAsia="es-NI"/>
              </w:rPr>
              <w:t>4,381,981</w:t>
            </w:r>
          </w:p>
        </w:tc>
        <w:tc>
          <w:tcPr>
            <w:tcW w:w="669" w:type="dxa"/>
            <w:tcBorders>
              <w:top w:val="nil"/>
              <w:left w:val="nil"/>
              <w:bottom w:val="single" w:sz="4" w:space="0" w:color="auto"/>
              <w:right w:val="single" w:sz="4" w:space="0" w:color="auto"/>
            </w:tcBorders>
            <w:shd w:val="clear" w:color="auto" w:fill="auto"/>
            <w:noWrap/>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val="es-NI" w:eastAsia="es-NI"/>
              </w:rPr>
              <w:t>100.0</w:t>
            </w:r>
          </w:p>
        </w:tc>
        <w:tc>
          <w:tcPr>
            <w:tcW w:w="999" w:type="dxa"/>
            <w:tcBorders>
              <w:top w:val="nil"/>
              <w:left w:val="nil"/>
              <w:bottom w:val="single" w:sz="4" w:space="0" w:color="auto"/>
              <w:right w:val="single" w:sz="4" w:space="0" w:color="auto"/>
            </w:tcBorders>
            <w:shd w:val="clear" w:color="auto" w:fill="auto"/>
            <w:noWrap/>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val="es-NI" w:eastAsia="es-NI"/>
              </w:rPr>
              <w:t>4,617,697</w:t>
            </w:r>
          </w:p>
        </w:tc>
        <w:tc>
          <w:tcPr>
            <w:tcW w:w="562" w:type="dxa"/>
            <w:tcBorders>
              <w:top w:val="nil"/>
              <w:left w:val="nil"/>
              <w:bottom w:val="single" w:sz="4" w:space="0" w:color="auto"/>
              <w:right w:val="single" w:sz="4" w:space="0" w:color="auto"/>
            </w:tcBorders>
            <w:shd w:val="clear" w:color="auto" w:fill="auto"/>
            <w:vAlign w:val="center"/>
            <w:hideMark/>
          </w:tcPr>
          <w:p w:rsidR="00046CA4" w:rsidRPr="00087FA5" w:rsidRDefault="00530812"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Pr>
                <w:rFonts w:ascii="Calibri" w:eastAsia="Times New Roman" w:hAnsi="Calibri" w:cs="Calibri"/>
                <w:color w:val="000000"/>
                <w:sz w:val="20"/>
                <w:szCs w:val="20"/>
                <w:lang w:val="es-NI" w:eastAsia="es-NI"/>
              </w:rPr>
              <w:t>100</w:t>
            </w:r>
          </w:p>
        </w:tc>
        <w:tc>
          <w:tcPr>
            <w:tcW w:w="1139" w:type="dxa"/>
            <w:tcBorders>
              <w:top w:val="nil"/>
              <w:left w:val="nil"/>
              <w:bottom w:val="single" w:sz="4" w:space="0" w:color="auto"/>
              <w:right w:val="single" w:sz="4" w:space="0" w:color="auto"/>
            </w:tcBorders>
            <w:shd w:val="clear" w:color="auto" w:fill="auto"/>
            <w:noWrap/>
            <w:vAlign w:val="center"/>
            <w:hideMark/>
          </w:tcPr>
          <w:p w:rsidR="00046CA4" w:rsidRPr="00046CA4"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46CA4">
              <w:rPr>
                <w:rFonts w:ascii="Calibri" w:eastAsia="Times New Roman" w:hAnsi="Calibri" w:cs="Calibri"/>
                <w:color w:val="000000"/>
                <w:sz w:val="20"/>
                <w:szCs w:val="20"/>
                <w:lang w:val="es-NI" w:eastAsia="es-NI"/>
              </w:rPr>
              <w:t>5,397,943</w:t>
            </w:r>
          </w:p>
        </w:tc>
        <w:tc>
          <w:tcPr>
            <w:tcW w:w="636" w:type="dxa"/>
            <w:tcBorders>
              <w:top w:val="nil"/>
              <w:left w:val="nil"/>
              <w:bottom w:val="single" w:sz="4" w:space="0" w:color="auto"/>
              <w:right w:val="single" w:sz="4" w:space="0" w:color="auto"/>
            </w:tcBorders>
            <w:shd w:val="clear" w:color="auto" w:fill="auto"/>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val="es-NI" w:eastAsia="es-NI"/>
              </w:rPr>
              <w:t>100.0</w:t>
            </w:r>
          </w:p>
        </w:tc>
        <w:tc>
          <w:tcPr>
            <w:tcW w:w="1052" w:type="dxa"/>
            <w:tcBorders>
              <w:top w:val="nil"/>
              <w:left w:val="nil"/>
              <w:bottom w:val="single" w:sz="4" w:space="0" w:color="auto"/>
              <w:right w:val="single" w:sz="4" w:space="0" w:color="auto"/>
            </w:tcBorders>
            <w:shd w:val="clear" w:color="auto" w:fill="auto"/>
            <w:noWrap/>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val="es-NI" w:eastAsia="es-NI"/>
              </w:rPr>
              <w:t>780,246.41</w:t>
            </w:r>
          </w:p>
        </w:tc>
        <w:tc>
          <w:tcPr>
            <w:tcW w:w="752" w:type="dxa"/>
            <w:tcBorders>
              <w:top w:val="nil"/>
              <w:left w:val="nil"/>
              <w:bottom w:val="single" w:sz="4" w:space="0" w:color="auto"/>
              <w:right w:val="single" w:sz="4" w:space="0" w:color="auto"/>
            </w:tcBorders>
            <w:shd w:val="clear" w:color="auto" w:fill="auto"/>
            <w:vAlign w:val="center"/>
            <w:hideMark/>
          </w:tcPr>
          <w:p w:rsidR="00046CA4" w:rsidRPr="00087FA5" w:rsidRDefault="00046CA4" w:rsidP="00046CA4">
            <w:pPr>
              <w:spacing w:before="0" w:beforeAutospacing="0" w:after="0" w:afterAutospacing="0" w:line="240" w:lineRule="auto"/>
              <w:jc w:val="center"/>
              <w:rPr>
                <w:rFonts w:ascii="Calibri" w:eastAsia="Times New Roman" w:hAnsi="Calibri" w:cs="Calibri"/>
                <w:color w:val="000000"/>
                <w:sz w:val="20"/>
                <w:szCs w:val="20"/>
                <w:lang w:val="es-NI" w:eastAsia="es-NI"/>
              </w:rPr>
            </w:pPr>
            <w:r w:rsidRPr="00087FA5">
              <w:rPr>
                <w:rFonts w:ascii="Calibri" w:eastAsia="Times New Roman" w:hAnsi="Calibri" w:cs="Calibri"/>
                <w:color w:val="000000"/>
                <w:sz w:val="20"/>
                <w:szCs w:val="20"/>
                <w:lang w:val="es-NI" w:eastAsia="es-NI"/>
              </w:rPr>
              <w:t>16.9</w:t>
            </w:r>
          </w:p>
        </w:tc>
      </w:tr>
    </w:tbl>
    <w:p w:rsidR="003833AB" w:rsidRPr="001C2738" w:rsidRDefault="003833AB" w:rsidP="003833AB">
      <w:pPr>
        <w:spacing w:before="0" w:beforeAutospacing="0" w:after="160" w:afterAutospacing="0" w:line="259" w:lineRule="auto"/>
        <w:jc w:val="left"/>
        <w:rPr>
          <w:sz w:val="16"/>
          <w:szCs w:val="16"/>
          <w:lang w:val="es-HN"/>
        </w:rPr>
      </w:pPr>
      <w:r w:rsidRPr="001C2738">
        <w:rPr>
          <w:sz w:val="16"/>
          <w:szCs w:val="16"/>
          <w:lang w:val="es-HN"/>
        </w:rPr>
        <w:t>Fuente: Base de datos consolidado de transacciones Medición del</w:t>
      </w:r>
      <w:r w:rsidR="00046CA4" w:rsidRPr="001C2738">
        <w:rPr>
          <w:sz w:val="16"/>
          <w:szCs w:val="16"/>
          <w:lang w:val="es-HN"/>
        </w:rPr>
        <w:t xml:space="preserve"> Gasto en Tuberculosis 2014-2017</w:t>
      </w:r>
    </w:p>
    <w:p w:rsidR="00B47DD0" w:rsidRDefault="002066FF" w:rsidP="009E333B">
      <w:pPr>
        <w:rPr>
          <w:lang w:val="es-HN"/>
        </w:rPr>
      </w:pPr>
      <w:r>
        <w:rPr>
          <w:lang w:val="es-HN"/>
        </w:rPr>
        <w:t>En los años 20</w:t>
      </w:r>
      <w:r w:rsidR="003943AE">
        <w:rPr>
          <w:lang w:val="es-HN"/>
        </w:rPr>
        <w:t>14 -2</w:t>
      </w:r>
      <w:r w:rsidR="00FB4B60">
        <w:rPr>
          <w:lang w:val="es-HN"/>
        </w:rPr>
        <w:t>017</w:t>
      </w:r>
      <w:r w:rsidR="00B47DD0">
        <w:rPr>
          <w:lang w:val="es-HN"/>
        </w:rPr>
        <w:t>, l</w:t>
      </w:r>
      <w:r w:rsidR="00025D4F" w:rsidRPr="00025D4F">
        <w:rPr>
          <w:lang w:val="es-HN"/>
        </w:rPr>
        <w:t>a mayor parte (</w:t>
      </w:r>
      <w:r w:rsidR="003943AE">
        <w:rPr>
          <w:lang w:val="es-HN"/>
        </w:rPr>
        <w:t>62</w:t>
      </w:r>
      <w:r>
        <w:rPr>
          <w:lang w:val="es-HN"/>
        </w:rPr>
        <w:t>%</w:t>
      </w:r>
      <w:r w:rsidR="00AC4DA2">
        <w:rPr>
          <w:lang w:val="es-HN"/>
        </w:rPr>
        <w:t>,</w:t>
      </w:r>
      <w:r>
        <w:rPr>
          <w:lang w:val="es-HN"/>
        </w:rPr>
        <w:t xml:space="preserve"> </w:t>
      </w:r>
      <w:r w:rsidR="00AC4DA2">
        <w:rPr>
          <w:lang w:val="es-HN"/>
        </w:rPr>
        <w:t>57</w:t>
      </w:r>
      <w:r w:rsidR="0036265F">
        <w:rPr>
          <w:lang w:val="es-HN"/>
        </w:rPr>
        <w:t>%, 57</w:t>
      </w:r>
      <w:r>
        <w:rPr>
          <w:lang w:val="es-HN"/>
        </w:rPr>
        <w:t>%</w:t>
      </w:r>
      <w:r w:rsidR="00FB4B60">
        <w:rPr>
          <w:lang w:val="es-HN"/>
        </w:rPr>
        <w:t xml:space="preserve"> y 58.6</w:t>
      </w:r>
      <w:r w:rsidR="003943AE">
        <w:rPr>
          <w:lang w:val="es-HN"/>
        </w:rPr>
        <w:t>%</w:t>
      </w:r>
      <w:r w:rsidR="00025D4F" w:rsidRPr="00025D4F">
        <w:rPr>
          <w:lang w:val="es-HN"/>
        </w:rPr>
        <w:t>) de los recursos financieros invertidos en el control de la</w:t>
      </w:r>
      <w:r w:rsidR="00CD4F5F">
        <w:rPr>
          <w:lang w:val="es-HN"/>
        </w:rPr>
        <w:t xml:space="preserve"> </w:t>
      </w:r>
      <w:r w:rsidR="00025D4F" w:rsidRPr="00025D4F">
        <w:rPr>
          <w:lang w:val="es-HN"/>
        </w:rPr>
        <w:t xml:space="preserve">Tuberculosis, se concentró en la atención </w:t>
      </w:r>
      <w:r w:rsidR="00B47DD0">
        <w:rPr>
          <w:lang w:val="es-HN"/>
        </w:rPr>
        <w:t>en centros de salud (US$2.2</w:t>
      </w:r>
      <w:r w:rsidR="00025D4F" w:rsidRPr="00025D4F">
        <w:rPr>
          <w:lang w:val="es-HN"/>
        </w:rPr>
        <w:t xml:space="preserve"> millones</w:t>
      </w:r>
      <w:r w:rsidR="003943AE">
        <w:rPr>
          <w:lang w:val="es-HN"/>
        </w:rPr>
        <w:t xml:space="preserve">, </w:t>
      </w:r>
      <w:r w:rsidR="00FB4B60">
        <w:rPr>
          <w:lang w:val="es-HN"/>
        </w:rPr>
        <w:t>US$</w:t>
      </w:r>
      <w:r w:rsidR="00B47DD0">
        <w:rPr>
          <w:lang w:val="es-HN"/>
        </w:rPr>
        <w:t xml:space="preserve">2.5 </w:t>
      </w:r>
      <w:r w:rsidR="0036265F">
        <w:rPr>
          <w:lang w:val="es-HN"/>
        </w:rPr>
        <w:t>millones, US</w:t>
      </w:r>
      <w:r w:rsidR="00FB4B60">
        <w:rPr>
          <w:lang w:val="es-HN"/>
        </w:rPr>
        <w:t>$2.6</w:t>
      </w:r>
      <w:r w:rsidR="003943AE">
        <w:rPr>
          <w:lang w:val="es-HN"/>
        </w:rPr>
        <w:t xml:space="preserve"> millones</w:t>
      </w:r>
      <w:r w:rsidR="00FB4B60">
        <w:rPr>
          <w:lang w:val="es-HN"/>
        </w:rPr>
        <w:t xml:space="preserve"> y US$3.2 millones</w:t>
      </w:r>
      <w:r w:rsidR="00025D4F" w:rsidRPr="00025D4F">
        <w:rPr>
          <w:lang w:val="es-HN"/>
        </w:rPr>
        <w:t>). Le sigue</w:t>
      </w:r>
      <w:r w:rsidR="00CD4F5F">
        <w:rPr>
          <w:lang w:val="es-HN"/>
        </w:rPr>
        <w:t xml:space="preserve"> </w:t>
      </w:r>
      <w:r w:rsidR="00025D4F" w:rsidRPr="00025D4F">
        <w:rPr>
          <w:lang w:val="es-HN"/>
        </w:rPr>
        <w:t xml:space="preserve">en orden de importancia, la inversión en atención </w:t>
      </w:r>
      <w:r w:rsidR="00B47DD0">
        <w:rPr>
          <w:lang w:val="es-HN"/>
        </w:rPr>
        <w:t xml:space="preserve">Hospitales </w:t>
      </w:r>
      <w:r w:rsidR="00025D4F" w:rsidRPr="00025D4F">
        <w:rPr>
          <w:lang w:val="es-HN"/>
        </w:rPr>
        <w:t>(US$</w:t>
      </w:r>
      <w:r w:rsidR="00B47DD0">
        <w:rPr>
          <w:lang w:val="es-HN"/>
        </w:rPr>
        <w:t xml:space="preserve">0.5 </w:t>
      </w:r>
      <w:r w:rsidR="00025D4F" w:rsidRPr="00025D4F">
        <w:rPr>
          <w:lang w:val="es-HN"/>
        </w:rPr>
        <w:t>millones</w:t>
      </w:r>
      <w:r w:rsidR="003943AE">
        <w:rPr>
          <w:lang w:val="es-HN"/>
        </w:rPr>
        <w:t xml:space="preserve"> en el </w:t>
      </w:r>
      <w:r w:rsidR="0036265F">
        <w:rPr>
          <w:lang w:val="es-HN"/>
        </w:rPr>
        <w:t>2014, US</w:t>
      </w:r>
      <w:r w:rsidR="00FB4B60">
        <w:rPr>
          <w:lang w:val="es-HN"/>
        </w:rPr>
        <w:t>$1.0</w:t>
      </w:r>
      <w:r w:rsidR="00B47DD0">
        <w:rPr>
          <w:lang w:val="es-HN"/>
        </w:rPr>
        <w:t xml:space="preserve"> millones en e</w:t>
      </w:r>
      <w:r w:rsidR="006174EE">
        <w:rPr>
          <w:lang w:val="es-HN"/>
        </w:rPr>
        <w:t xml:space="preserve">l </w:t>
      </w:r>
      <w:r w:rsidR="00FB4B60">
        <w:rPr>
          <w:lang w:val="es-HN"/>
        </w:rPr>
        <w:t>2015, US$0.</w:t>
      </w:r>
      <w:r w:rsidR="0036265F">
        <w:rPr>
          <w:lang w:val="es-HN"/>
        </w:rPr>
        <w:t>3 millones</w:t>
      </w:r>
      <w:r w:rsidR="003943AE">
        <w:rPr>
          <w:lang w:val="es-HN"/>
        </w:rPr>
        <w:t xml:space="preserve"> en el 2016</w:t>
      </w:r>
      <w:r w:rsidR="00FB4B60">
        <w:rPr>
          <w:lang w:val="es-HN"/>
        </w:rPr>
        <w:t xml:space="preserve"> y 2017</w:t>
      </w:r>
      <w:r w:rsidR="00B47DD0">
        <w:rPr>
          <w:lang w:val="es-HN"/>
        </w:rPr>
        <w:t>)</w:t>
      </w:r>
      <w:r w:rsidR="00CD4F5F">
        <w:rPr>
          <w:lang w:val="es-HN"/>
        </w:rPr>
        <w:t xml:space="preserve"> </w:t>
      </w:r>
      <w:r w:rsidR="00025D4F" w:rsidRPr="00025D4F">
        <w:rPr>
          <w:lang w:val="es-HN"/>
        </w:rPr>
        <w:t xml:space="preserve">equivalentes al </w:t>
      </w:r>
      <w:r w:rsidR="003943AE">
        <w:rPr>
          <w:lang w:val="es-HN"/>
        </w:rPr>
        <w:t xml:space="preserve">15%, el 23. </w:t>
      </w:r>
      <w:r w:rsidR="0036265F">
        <w:rPr>
          <w:lang w:val="es-HN"/>
        </w:rPr>
        <w:t>% 6.3</w:t>
      </w:r>
      <w:r w:rsidR="00FB4B60">
        <w:rPr>
          <w:lang w:val="es-HN"/>
        </w:rPr>
        <w:t>, y 5.7</w:t>
      </w:r>
      <w:r w:rsidR="003943AE">
        <w:rPr>
          <w:lang w:val="es-HN"/>
        </w:rPr>
        <w:t xml:space="preserve">% </w:t>
      </w:r>
      <w:r w:rsidR="00B47DD0">
        <w:rPr>
          <w:lang w:val="es-HN"/>
        </w:rPr>
        <w:t>respectivamente del total de gastos</w:t>
      </w:r>
      <w:r w:rsidR="009E333B">
        <w:rPr>
          <w:lang w:val="es-HN"/>
        </w:rPr>
        <w:t>.</w:t>
      </w:r>
    </w:p>
    <w:p w:rsidR="009E333B" w:rsidRPr="009E333B" w:rsidRDefault="003833AB" w:rsidP="009E333B">
      <w:pPr>
        <w:rPr>
          <w:lang w:val="es-NI"/>
        </w:rPr>
      </w:pPr>
      <w:r>
        <w:rPr>
          <w:lang w:val="es-HN"/>
        </w:rPr>
        <w:t>Tabla 4</w:t>
      </w:r>
      <w:r w:rsidR="009E333B" w:rsidRPr="009E333B">
        <w:t xml:space="preserve">. </w:t>
      </w:r>
      <w:r w:rsidR="009E333B" w:rsidRPr="009E333B">
        <w:rPr>
          <w:lang w:val="es-NI"/>
        </w:rPr>
        <w:t>Participación en la ejecución de fondos para la provisión de servicios por tipo de proveedor</w:t>
      </w:r>
      <w:r w:rsidR="009E333B" w:rsidRPr="009E333B">
        <w:rPr>
          <w:lang w:val="es-NI"/>
        </w:rPr>
        <w:br/>
        <w:t>Nicaragua, 2014</w:t>
      </w:r>
      <w:r w:rsidR="00293FF7">
        <w:rPr>
          <w:lang w:val="es-NI"/>
        </w:rPr>
        <w:t xml:space="preserve"> -201</w:t>
      </w:r>
      <w:r w:rsidR="007E1C6B">
        <w:rPr>
          <w:lang w:val="es-NI"/>
        </w:rPr>
        <w:t>7  En millones de Dólares.</w:t>
      </w:r>
    </w:p>
    <w:tbl>
      <w:tblPr>
        <w:tblW w:w="9821" w:type="dxa"/>
        <w:tblInd w:w="-10" w:type="dxa"/>
        <w:tblCellMar>
          <w:left w:w="70" w:type="dxa"/>
          <w:right w:w="70" w:type="dxa"/>
        </w:tblCellMar>
        <w:tblLook w:val="04A0" w:firstRow="1" w:lastRow="0" w:firstColumn="1" w:lastColumn="0" w:noHBand="0" w:noVBand="1"/>
      </w:tblPr>
      <w:tblGrid>
        <w:gridCol w:w="1843"/>
        <w:gridCol w:w="1418"/>
        <w:gridCol w:w="668"/>
        <w:gridCol w:w="1240"/>
        <w:gridCol w:w="629"/>
        <w:gridCol w:w="1227"/>
        <w:gridCol w:w="629"/>
        <w:gridCol w:w="1207"/>
        <w:gridCol w:w="960"/>
      </w:tblGrid>
      <w:tr w:rsidR="00FB4B60" w:rsidRPr="00FB4B60" w:rsidTr="0070314F">
        <w:trPr>
          <w:trHeight w:val="345"/>
          <w:tblHeader/>
        </w:trPr>
        <w:tc>
          <w:tcPr>
            <w:tcW w:w="1843" w:type="dxa"/>
            <w:vMerge w:val="restart"/>
            <w:tcBorders>
              <w:top w:val="single" w:sz="8" w:space="0" w:color="5B9BD5"/>
              <w:left w:val="single" w:sz="8" w:space="0" w:color="5B9BD5"/>
              <w:bottom w:val="single" w:sz="12" w:space="0" w:color="8EAADB"/>
              <w:right w:val="single" w:sz="8" w:space="0" w:color="5B9BD5"/>
            </w:tcBorders>
            <w:shd w:val="clear" w:color="000000" w:fill="0070C0"/>
            <w:noWrap/>
            <w:vAlign w:val="center"/>
            <w:hideMark/>
          </w:tcPr>
          <w:p w:rsidR="00FB4B60" w:rsidRPr="00FB4B60" w:rsidRDefault="00FB4B60" w:rsidP="00FB4B60">
            <w:pPr>
              <w:spacing w:before="0" w:beforeAutospacing="0" w:after="0" w:afterAutospacing="0" w:line="240" w:lineRule="auto"/>
              <w:jc w:val="left"/>
              <w:rPr>
                <w:rFonts w:eastAsia="Times New Roman" w:cs="Calibri"/>
                <w:color w:val="000000"/>
                <w:sz w:val="24"/>
                <w:szCs w:val="24"/>
                <w:lang w:val="es-NI" w:eastAsia="es-NI"/>
              </w:rPr>
            </w:pPr>
            <w:r w:rsidRPr="00FB4B60">
              <w:rPr>
                <w:rFonts w:eastAsia="Times New Roman" w:cs="Calibri"/>
                <w:color w:val="000000"/>
                <w:sz w:val="24"/>
                <w:szCs w:val="24"/>
                <w:lang w:val="es-NI" w:eastAsia="es-NI"/>
              </w:rPr>
              <w:t>Proveedores de Servicios</w:t>
            </w:r>
          </w:p>
        </w:tc>
        <w:tc>
          <w:tcPr>
            <w:tcW w:w="1418" w:type="dxa"/>
            <w:tcBorders>
              <w:top w:val="single" w:sz="8" w:space="0" w:color="5B9BD5"/>
              <w:left w:val="nil"/>
              <w:bottom w:val="single" w:sz="4" w:space="0" w:color="auto"/>
              <w:right w:val="single" w:sz="8" w:space="0" w:color="5B9BD5"/>
            </w:tcBorders>
            <w:shd w:val="clear" w:color="000000" w:fill="0070C0"/>
            <w:noWrap/>
            <w:vAlign w:val="center"/>
            <w:hideMark/>
          </w:tcPr>
          <w:p w:rsidR="00FB4B60" w:rsidRPr="00FB4B60" w:rsidRDefault="00FB4B60" w:rsidP="00FB4B60">
            <w:pPr>
              <w:spacing w:before="0" w:beforeAutospacing="0" w:after="0" w:afterAutospacing="0" w:line="240" w:lineRule="auto"/>
              <w:jc w:val="center"/>
              <w:rPr>
                <w:rFonts w:eastAsia="Times New Roman" w:cs="Calibri"/>
                <w:color w:val="000000"/>
                <w:lang w:val="es-NI" w:eastAsia="es-NI"/>
              </w:rPr>
            </w:pPr>
            <w:r w:rsidRPr="00FB4B60">
              <w:rPr>
                <w:rFonts w:eastAsia="Times New Roman" w:cs="Calibri"/>
                <w:color w:val="000000"/>
                <w:lang w:val="es-NI" w:eastAsia="es-NI"/>
              </w:rPr>
              <w:t>2014</w:t>
            </w:r>
          </w:p>
        </w:tc>
        <w:tc>
          <w:tcPr>
            <w:tcW w:w="668" w:type="dxa"/>
            <w:vMerge w:val="restart"/>
            <w:tcBorders>
              <w:top w:val="single" w:sz="8" w:space="0" w:color="5B9BD5"/>
              <w:left w:val="single" w:sz="8" w:space="0" w:color="5B9BD5"/>
              <w:bottom w:val="single" w:sz="12" w:space="0" w:color="8EAADB"/>
              <w:right w:val="single" w:sz="8" w:space="0" w:color="5B9BD5"/>
            </w:tcBorders>
            <w:shd w:val="clear" w:color="000000" w:fill="0070C0"/>
            <w:noWrap/>
            <w:vAlign w:val="center"/>
            <w:hideMark/>
          </w:tcPr>
          <w:p w:rsidR="00FB4B60" w:rsidRPr="00FB4B60" w:rsidRDefault="00FB4B60" w:rsidP="00FB4B60">
            <w:pPr>
              <w:spacing w:before="0" w:beforeAutospacing="0" w:after="0" w:afterAutospacing="0" w:line="240" w:lineRule="auto"/>
              <w:jc w:val="center"/>
              <w:rPr>
                <w:rFonts w:eastAsia="Times New Roman" w:cs="Calibri"/>
                <w:color w:val="000000"/>
                <w:lang w:val="es-NI" w:eastAsia="es-NI"/>
              </w:rPr>
            </w:pPr>
            <w:r w:rsidRPr="00FB4B60">
              <w:rPr>
                <w:rFonts w:eastAsia="Times New Roman" w:cs="Calibri"/>
                <w:color w:val="000000"/>
                <w:lang w:val="es-NI" w:eastAsia="es-NI"/>
              </w:rPr>
              <w:t>%</w:t>
            </w:r>
          </w:p>
        </w:tc>
        <w:tc>
          <w:tcPr>
            <w:tcW w:w="1240" w:type="dxa"/>
            <w:tcBorders>
              <w:top w:val="single" w:sz="8" w:space="0" w:color="5B9BD5"/>
              <w:left w:val="nil"/>
              <w:bottom w:val="single" w:sz="4" w:space="0" w:color="auto"/>
              <w:right w:val="single" w:sz="8" w:space="0" w:color="5B9BD5"/>
            </w:tcBorders>
            <w:shd w:val="clear" w:color="000000" w:fill="0070C0"/>
            <w:noWrap/>
            <w:vAlign w:val="center"/>
            <w:hideMark/>
          </w:tcPr>
          <w:p w:rsidR="00FB4B60" w:rsidRPr="00FB4B60" w:rsidRDefault="00FB4B60" w:rsidP="00FB4B60">
            <w:pPr>
              <w:spacing w:before="0" w:beforeAutospacing="0" w:after="0" w:afterAutospacing="0" w:line="240" w:lineRule="auto"/>
              <w:jc w:val="center"/>
              <w:rPr>
                <w:rFonts w:eastAsia="Times New Roman" w:cs="Calibri"/>
                <w:color w:val="000000"/>
                <w:lang w:val="es-NI" w:eastAsia="es-NI"/>
              </w:rPr>
            </w:pPr>
            <w:r w:rsidRPr="00FB4B60">
              <w:rPr>
                <w:rFonts w:eastAsia="Times New Roman" w:cs="Calibri"/>
                <w:color w:val="000000"/>
                <w:lang w:val="es-NI" w:eastAsia="es-NI"/>
              </w:rPr>
              <w:t>2015</w:t>
            </w:r>
          </w:p>
        </w:tc>
        <w:tc>
          <w:tcPr>
            <w:tcW w:w="629" w:type="dxa"/>
            <w:vMerge w:val="restart"/>
            <w:tcBorders>
              <w:top w:val="single" w:sz="8" w:space="0" w:color="5B9BD5"/>
              <w:left w:val="single" w:sz="8" w:space="0" w:color="5B9BD5"/>
              <w:bottom w:val="single" w:sz="12" w:space="0" w:color="8EAADB"/>
              <w:right w:val="single" w:sz="8" w:space="0" w:color="5B9BD5"/>
            </w:tcBorders>
            <w:shd w:val="clear" w:color="000000" w:fill="0070C0"/>
            <w:noWrap/>
            <w:vAlign w:val="center"/>
            <w:hideMark/>
          </w:tcPr>
          <w:p w:rsidR="00FB4B60" w:rsidRPr="00FB4B60" w:rsidRDefault="00FB4B60" w:rsidP="00FB4B60">
            <w:pPr>
              <w:spacing w:before="0" w:beforeAutospacing="0" w:after="0" w:afterAutospacing="0" w:line="240" w:lineRule="auto"/>
              <w:jc w:val="center"/>
              <w:rPr>
                <w:rFonts w:eastAsia="Times New Roman" w:cs="Calibri"/>
                <w:color w:val="000000"/>
                <w:lang w:val="es-NI" w:eastAsia="es-NI"/>
              </w:rPr>
            </w:pPr>
            <w:r w:rsidRPr="00FB4B60">
              <w:rPr>
                <w:rFonts w:eastAsia="Times New Roman" w:cs="Calibri"/>
                <w:color w:val="000000"/>
                <w:lang w:val="es-NI" w:eastAsia="es-NI"/>
              </w:rPr>
              <w:t>%</w:t>
            </w:r>
          </w:p>
        </w:tc>
        <w:tc>
          <w:tcPr>
            <w:tcW w:w="1227" w:type="dxa"/>
            <w:tcBorders>
              <w:top w:val="single" w:sz="8" w:space="0" w:color="5B9BD5"/>
              <w:left w:val="nil"/>
              <w:bottom w:val="single" w:sz="4" w:space="0" w:color="auto"/>
              <w:right w:val="single" w:sz="8" w:space="0" w:color="5B9BD5"/>
            </w:tcBorders>
            <w:shd w:val="clear" w:color="000000" w:fill="0070C0"/>
            <w:vAlign w:val="center"/>
            <w:hideMark/>
          </w:tcPr>
          <w:p w:rsidR="00FB4B60" w:rsidRPr="00FB4B60" w:rsidRDefault="00FB4B60" w:rsidP="00FB4B60">
            <w:pPr>
              <w:spacing w:before="0" w:beforeAutospacing="0" w:after="0" w:afterAutospacing="0" w:line="240" w:lineRule="auto"/>
              <w:jc w:val="center"/>
              <w:rPr>
                <w:rFonts w:eastAsia="Times New Roman" w:cs="Calibri"/>
                <w:color w:val="000000"/>
                <w:lang w:val="es-NI" w:eastAsia="es-NI"/>
              </w:rPr>
            </w:pPr>
            <w:r w:rsidRPr="00FB4B60">
              <w:rPr>
                <w:rFonts w:eastAsia="Times New Roman" w:cs="Calibri"/>
                <w:color w:val="000000"/>
                <w:lang w:val="es-NI" w:eastAsia="es-NI"/>
              </w:rPr>
              <w:t>2016</w:t>
            </w:r>
          </w:p>
        </w:tc>
        <w:tc>
          <w:tcPr>
            <w:tcW w:w="629" w:type="dxa"/>
            <w:vMerge w:val="restart"/>
            <w:tcBorders>
              <w:top w:val="single" w:sz="8" w:space="0" w:color="5B9BD5"/>
              <w:left w:val="single" w:sz="8" w:space="0" w:color="5B9BD5"/>
              <w:bottom w:val="single" w:sz="4" w:space="0" w:color="auto"/>
              <w:right w:val="single" w:sz="8" w:space="0" w:color="auto"/>
            </w:tcBorders>
            <w:shd w:val="clear" w:color="000000" w:fill="0070C0"/>
            <w:vAlign w:val="center"/>
            <w:hideMark/>
          </w:tcPr>
          <w:p w:rsidR="00FB4B60" w:rsidRPr="00FB4B60" w:rsidRDefault="00FB4B60" w:rsidP="00FB4B60">
            <w:pPr>
              <w:spacing w:before="0" w:beforeAutospacing="0" w:after="0" w:afterAutospacing="0" w:line="240" w:lineRule="auto"/>
              <w:jc w:val="center"/>
              <w:rPr>
                <w:rFonts w:eastAsia="Times New Roman" w:cs="Calibri"/>
                <w:color w:val="000000"/>
                <w:lang w:val="es-NI" w:eastAsia="es-NI"/>
              </w:rPr>
            </w:pPr>
            <w:r w:rsidRPr="00FB4B60">
              <w:rPr>
                <w:rFonts w:eastAsia="Times New Roman" w:cs="Calibri"/>
                <w:color w:val="000000"/>
                <w:lang w:val="es-NI" w:eastAsia="es-NI"/>
              </w:rPr>
              <w:t>%</w:t>
            </w:r>
          </w:p>
        </w:tc>
        <w:tc>
          <w:tcPr>
            <w:tcW w:w="1207" w:type="dxa"/>
            <w:tcBorders>
              <w:top w:val="single" w:sz="8" w:space="0" w:color="5B9BD5"/>
              <w:left w:val="nil"/>
              <w:bottom w:val="single" w:sz="4" w:space="0" w:color="auto"/>
              <w:right w:val="single" w:sz="8" w:space="0" w:color="5B9BD5"/>
            </w:tcBorders>
            <w:shd w:val="clear" w:color="000000" w:fill="0070C0"/>
            <w:vAlign w:val="center"/>
            <w:hideMark/>
          </w:tcPr>
          <w:p w:rsidR="00FB4B60" w:rsidRPr="00FB4B60" w:rsidRDefault="00FB4B60" w:rsidP="00FB4B60">
            <w:pPr>
              <w:spacing w:before="0" w:beforeAutospacing="0" w:after="0" w:afterAutospacing="0" w:line="240" w:lineRule="auto"/>
              <w:jc w:val="center"/>
              <w:rPr>
                <w:rFonts w:eastAsia="Times New Roman" w:cs="Calibri"/>
                <w:color w:val="000000"/>
                <w:lang w:val="es-NI" w:eastAsia="es-NI"/>
              </w:rPr>
            </w:pPr>
            <w:r>
              <w:rPr>
                <w:rFonts w:eastAsia="Times New Roman" w:cs="Calibri"/>
                <w:color w:val="000000"/>
                <w:lang w:val="es-NI" w:eastAsia="es-NI"/>
              </w:rPr>
              <w:t>2017</w:t>
            </w:r>
          </w:p>
        </w:tc>
        <w:tc>
          <w:tcPr>
            <w:tcW w:w="960" w:type="dxa"/>
            <w:vMerge w:val="restart"/>
            <w:tcBorders>
              <w:top w:val="single" w:sz="8" w:space="0" w:color="5B9BD5"/>
              <w:left w:val="single" w:sz="8" w:space="0" w:color="5B9BD5"/>
              <w:bottom w:val="single" w:sz="12" w:space="0" w:color="8EAADB"/>
              <w:right w:val="single" w:sz="8" w:space="0" w:color="auto"/>
            </w:tcBorders>
            <w:shd w:val="clear" w:color="000000" w:fill="0070C0"/>
            <w:vAlign w:val="center"/>
            <w:hideMark/>
          </w:tcPr>
          <w:p w:rsidR="00FB4B60" w:rsidRPr="00FB4B60" w:rsidRDefault="00FB4B60" w:rsidP="00FB4B60">
            <w:pPr>
              <w:spacing w:before="0" w:beforeAutospacing="0" w:after="0" w:afterAutospacing="0" w:line="240" w:lineRule="auto"/>
              <w:jc w:val="center"/>
              <w:rPr>
                <w:rFonts w:eastAsia="Times New Roman" w:cs="Calibri"/>
                <w:color w:val="000000"/>
                <w:lang w:val="es-NI" w:eastAsia="es-NI"/>
              </w:rPr>
            </w:pPr>
            <w:r w:rsidRPr="00FB4B60">
              <w:rPr>
                <w:rFonts w:eastAsia="Times New Roman" w:cs="Calibri"/>
                <w:color w:val="000000"/>
                <w:lang w:val="es-NI" w:eastAsia="es-NI"/>
              </w:rPr>
              <w:t>%</w:t>
            </w:r>
          </w:p>
        </w:tc>
      </w:tr>
      <w:tr w:rsidR="00FB4B60" w:rsidRPr="00FB4B60" w:rsidTr="0070314F">
        <w:trPr>
          <w:trHeight w:val="705"/>
          <w:tblHeader/>
        </w:trPr>
        <w:tc>
          <w:tcPr>
            <w:tcW w:w="1843" w:type="dxa"/>
            <w:vMerge/>
            <w:tcBorders>
              <w:top w:val="single" w:sz="8" w:space="0" w:color="5B9BD5"/>
              <w:left w:val="single" w:sz="8" w:space="0" w:color="5B9BD5"/>
              <w:bottom w:val="single" w:sz="12" w:space="0" w:color="8EAADB"/>
              <w:right w:val="single" w:sz="8" w:space="0" w:color="5B9BD5"/>
            </w:tcBorders>
            <w:vAlign w:val="center"/>
            <w:hideMark/>
          </w:tcPr>
          <w:p w:rsidR="00FB4B60" w:rsidRPr="00FB4B60" w:rsidRDefault="00FB4B60" w:rsidP="00FB4B60">
            <w:pPr>
              <w:spacing w:before="0" w:beforeAutospacing="0" w:after="0" w:afterAutospacing="0" w:line="240" w:lineRule="auto"/>
              <w:jc w:val="left"/>
              <w:rPr>
                <w:rFonts w:eastAsia="Times New Roman" w:cs="Calibri"/>
                <w:color w:val="000000"/>
                <w:sz w:val="24"/>
                <w:szCs w:val="24"/>
                <w:lang w:val="es-NI" w:eastAsia="es-NI"/>
              </w:rPr>
            </w:pPr>
          </w:p>
        </w:tc>
        <w:tc>
          <w:tcPr>
            <w:tcW w:w="1418" w:type="dxa"/>
            <w:tcBorders>
              <w:top w:val="single" w:sz="4" w:space="0" w:color="auto"/>
              <w:left w:val="nil"/>
              <w:bottom w:val="single" w:sz="12" w:space="0" w:color="8EAADB"/>
              <w:right w:val="single" w:sz="8" w:space="0" w:color="5B9BD5"/>
            </w:tcBorders>
            <w:shd w:val="clear" w:color="000000" w:fill="0070C0"/>
            <w:noWrap/>
            <w:vAlign w:val="center"/>
            <w:hideMark/>
          </w:tcPr>
          <w:p w:rsidR="00FB4B60" w:rsidRPr="00FB4B60" w:rsidRDefault="00FB4B60" w:rsidP="00FB4B60">
            <w:pPr>
              <w:spacing w:before="0" w:beforeAutospacing="0" w:after="0" w:afterAutospacing="0" w:line="240" w:lineRule="auto"/>
              <w:jc w:val="center"/>
              <w:rPr>
                <w:rFonts w:eastAsia="Times New Roman" w:cs="Calibri"/>
                <w:color w:val="000000"/>
                <w:lang w:val="es-NI" w:eastAsia="es-NI"/>
              </w:rPr>
            </w:pPr>
            <w:r w:rsidRPr="00FB4B60">
              <w:rPr>
                <w:rFonts w:eastAsia="Times New Roman" w:cs="Calibri"/>
                <w:color w:val="000000"/>
                <w:lang w:val="es-NI" w:eastAsia="es-NI"/>
              </w:rPr>
              <w:t>Millones de US$</w:t>
            </w:r>
          </w:p>
        </w:tc>
        <w:tc>
          <w:tcPr>
            <w:tcW w:w="668" w:type="dxa"/>
            <w:vMerge/>
            <w:tcBorders>
              <w:top w:val="single" w:sz="8" w:space="0" w:color="5B9BD5"/>
              <w:left w:val="single" w:sz="8" w:space="0" w:color="5B9BD5"/>
              <w:bottom w:val="single" w:sz="12" w:space="0" w:color="8EAADB"/>
              <w:right w:val="single" w:sz="8" w:space="0" w:color="5B9BD5"/>
            </w:tcBorders>
            <w:vAlign w:val="center"/>
            <w:hideMark/>
          </w:tcPr>
          <w:p w:rsidR="00FB4B60" w:rsidRPr="00FB4B60" w:rsidRDefault="00FB4B60" w:rsidP="00FB4B60">
            <w:pPr>
              <w:spacing w:before="0" w:beforeAutospacing="0" w:after="0" w:afterAutospacing="0" w:line="240" w:lineRule="auto"/>
              <w:jc w:val="left"/>
              <w:rPr>
                <w:rFonts w:eastAsia="Times New Roman" w:cs="Calibri"/>
                <w:color w:val="000000"/>
                <w:lang w:val="es-NI" w:eastAsia="es-NI"/>
              </w:rPr>
            </w:pPr>
          </w:p>
        </w:tc>
        <w:tc>
          <w:tcPr>
            <w:tcW w:w="1240" w:type="dxa"/>
            <w:tcBorders>
              <w:top w:val="single" w:sz="4" w:space="0" w:color="auto"/>
              <w:left w:val="nil"/>
              <w:bottom w:val="single" w:sz="12" w:space="0" w:color="8EAADB"/>
              <w:right w:val="single" w:sz="8" w:space="0" w:color="5B9BD5"/>
            </w:tcBorders>
            <w:shd w:val="clear" w:color="000000" w:fill="0070C0"/>
            <w:noWrap/>
            <w:vAlign w:val="center"/>
            <w:hideMark/>
          </w:tcPr>
          <w:p w:rsidR="00FB4B60" w:rsidRPr="00FB4B60" w:rsidRDefault="00FB4B60" w:rsidP="00FB4B60">
            <w:pPr>
              <w:spacing w:before="0" w:beforeAutospacing="0" w:after="0" w:afterAutospacing="0" w:line="240" w:lineRule="auto"/>
              <w:jc w:val="center"/>
              <w:rPr>
                <w:rFonts w:eastAsia="Times New Roman" w:cs="Calibri"/>
                <w:color w:val="000000"/>
                <w:lang w:val="es-NI" w:eastAsia="es-NI"/>
              </w:rPr>
            </w:pPr>
            <w:r w:rsidRPr="00FB4B60">
              <w:rPr>
                <w:rFonts w:eastAsia="Times New Roman" w:cs="Calibri"/>
                <w:color w:val="000000"/>
                <w:lang w:val="es-NI" w:eastAsia="es-NI"/>
              </w:rPr>
              <w:t>Millones de US$</w:t>
            </w:r>
          </w:p>
        </w:tc>
        <w:tc>
          <w:tcPr>
            <w:tcW w:w="629" w:type="dxa"/>
            <w:vMerge/>
            <w:tcBorders>
              <w:top w:val="single" w:sz="8" w:space="0" w:color="5B9BD5"/>
              <w:left w:val="single" w:sz="8" w:space="0" w:color="5B9BD5"/>
              <w:bottom w:val="single" w:sz="12" w:space="0" w:color="8EAADB"/>
              <w:right w:val="single" w:sz="8" w:space="0" w:color="5B9BD5"/>
            </w:tcBorders>
            <w:vAlign w:val="center"/>
            <w:hideMark/>
          </w:tcPr>
          <w:p w:rsidR="00FB4B60" w:rsidRPr="00FB4B60" w:rsidRDefault="00FB4B60" w:rsidP="00FB4B60">
            <w:pPr>
              <w:spacing w:before="0" w:beforeAutospacing="0" w:after="0" w:afterAutospacing="0" w:line="240" w:lineRule="auto"/>
              <w:jc w:val="left"/>
              <w:rPr>
                <w:rFonts w:eastAsia="Times New Roman" w:cs="Calibri"/>
                <w:color w:val="000000"/>
                <w:lang w:val="es-NI" w:eastAsia="es-NI"/>
              </w:rPr>
            </w:pPr>
          </w:p>
        </w:tc>
        <w:tc>
          <w:tcPr>
            <w:tcW w:w="1227" w:type="dxa"/>
            <w:tcBorders>
              <w:top w:val="single" w:sz="4" w:space="0" w:color="auto"/>
              <w:left w:val="nil"/>
              <w:bottom w:val="single" w:sz="12" w:space="0" w:color="8EAADB"/>
              <w:right w:val="single" w:sz="8" w:space="0" w:color="5B9BD5"/>
            </w:tcBorders>
            <w:shd w:val="clear" w:color="000000" w:fill="0070C0"/>
            <w:vAlign w:val="center"/>
            <w:hideMark/>
          </w:tcPr>
          <w:p w:rsidR="00FB4B60" w:rsidRPr="00FB4B60" w:rsidRDefault="00FB4B60" w:rsidP="00FB4B60">
            <w:pPr>
              <w:spacing w:before="0" w:beforeAutospacing="0" w:after="0" w:afterAutospacing="0" w:line="240" w:lineRule="auto"/>
              <w:jc w:val="center"/>
              <w:rPr>
                <w:rFonts w:eastAsia="Times New Roman" w:cs="Calibri"/>
                <w:color w:val="000000"/>
                <w:lang w:val="es-NI" w:eastAsia="es-NI"/>
              </w:rPr>
            </w:pPr>
            <w:r w:rsidRPr="00FB4B60">
              <w:rPr>
                <w:rFonts w:eastAsia="Times New Roman" w:cs="Calibri"/>
                <w:color w:val="000000"/>
                <w:lang w:val="es-NI" w:eastAsia="es-NI"/>
              </w:rPr>
              <w:t>Millones de US$</w:t>
            </w:r>
          </w:p>
        </w:tc>
        <w:tc>
          <w:tcPr>
            <w:tcW w:w="629" w:type="dxa"/>
            <w:vMerge/>
            <w:tcBorders>
              <w:top w:val="single" w:sz="4" w:space="0" w:color="auto"/>
              <w:left w:val="single" w:sz="8" w:space="0" w:color="5B9BD5"/>
              <w:bottom w:val="single" w:sz="12" w:space="0" w:color="8EAADB"/>
              <w:right w:val="single" w:sz="8" w:space="0" w:color="auto"/>
            </w:tcBorders>
            <w:vAlign w:val="center"/>
            <w:hideMark/>
          </w:tcPr>
          <w:p w:rsidR="00FB4B60" w:rsidRPr="00FB4B60" w:rsidRDefault="00FB4B60" w:rsidP="00FB4B60">
            <w:pPr>
              <w:spacing w:before="0" w:beforeAutospacing="0" w:after="0" w:afterAutospacing="0" w:line="240" w:lineRule="auto"/>
              <w:jc w:val="left"/>
              <w:rPr>
                <w:rFonts w:eastAsia="Times New Roman" w:cs="Calibri"/>
                <w:color w:val="000000"/>
                <w:lang w:val="es-NI" w:eastAsia="es-NI"/>
              </w:rPr>
            </w:pPr>
          </w:p>
        </w:tc>
        <w:tc>
          <w:tcPr>
            <w:tcW w:w="1207" w:type="dxa"/>
            <w:tcBorders>
              <w:top w:val="single" w:sz="4" w:space="0" w:color="auto"/>
              <w:left w:val="nil"/>
              <w:bottom w:val="single" w:sz="12" w:space="0" w:color="8EAADB"/>
              <w:right w:val="single" w:sz="8" w:space="0" w:color="5B9BD5"/>
            </w:tcBorders>
            <w:shd w:val="clear" w:color="000000" w:fill="0070C0"/>
            <w:vAlign w:val="center"/>
            <w:hideMark/>
          </w:tcPr>
          <w:p w:rsidR="00FB4B60" w:rsidRPr="00FB4B60" w:rsidRDefault="00FB4B60" w:rsidP="00FB4B60">
            <w:pPr>
              <w:spacing w:before="0" w:beforeAutospacing="0" w:after="0" w:afterAutospacing="0" w:line="240" w:lineRule="auto"/>
              <w:jc w:val="center"/>
              <w:rPr>
                <w:rFonts w:eastAsia="Times New Roman" w:cs="Calibri"/>
                <w:color w:val="000000"/>
                <w:lang w:val="es-NI" w:eastAsia="es-NI"/>
              </w:rPr>
            </w:pPr>
            <w:r w:rsidRPr="00FB4B60">
              <w:rPr>
                <w:rFonts w:eastAsia="Times New Roman" w:cs="Calibri"/>
                <w:color w:val="000000"/>
                <w:lang w:val="es-NI" w:eastAsia="es-NI"/>
              </w:rPr>
              <w:t>Millones de US$</w:t>
            </w:r>
          </w:p>
        </w:tc>
        <w:tc>
          <w:tcPr>
            <w:tcW w:w="960" w:type="dxa"/>
            <w:vMerge/>
            <w:tcBorders>
              <w:top w:val="single" w:sz="8" w:space="0" w:color="5B9BD5"/>
              <w:left w:val="single" w:sz="8" w:space="0" w:color="5B9BD5"/>
              <w:bottom w:val="single" w:sz="12" w:space="0" w:color="8EAADB"/>
              <w:right w:val="single" w:sz="8" w:space="0" w:color="auto"/>
            </w:tcBorders>
            <w:vAlign w:val="center"/>
            <w:hideMark/>
          </w:tcPr>
          <w:p w:rsidR="00FB4B60" w:rsidRPr="00FB4B60" w:rsidRDefault="00FB4B60" w:rsidP="00FB4B60">
            <w:pPr>
              <w:spacing w:before="0" w:beforeAutospacing="0" w:after="0" w:afterAutospacing="0" w:line="240" w:lineRule="auto"/>
              <w:jc w:val="left"/>
              <w:rPr>
                <w:rFonts w:eastAsia="Times New Roman" w:cs="Calibri"/>
                <w:color w:val="000000"/>
                <w:lang w:val="es-NI" w:eastAsia="es-NI"/>
              </w:rPr>
            </w:pPr>
          </w:p>
        </w:tc>
      </w:tr>
      <w:tr w:rsidR="00FB4B60" w:rsidRPr="00FB4B60" w:rsidTr="00FB4B60">
        <w:trPr>
          <w:trHeight w:val="330"/>
        </w:trPr>
        <w:tc>
          <w:tcPr>
            <w:tcW w:w="1843" w:type="dxa"/>
            <w:tcBorders>
              <w:top w:val="nil"/>
              <w:left w:val="single" w:sz="8" w:space="0" w:color="5B9BD5"/>
              <w:bottom w:val="single" w:sz="8" w:space="0" w:color="5B9BD5"/>
              <w:right w:val="single" w:sz="8" w:space="0" w:color="5B9BD5"/>
            </w:tcBorders>
            <w:shd w:val="clear" w:color="auto" w:fill="auto"/>
            <w:noWrap/>
            <w:vAlign w:val="center"/>
            <w:hideMark/>
          </w:tcPr>
          <w:p w:rsidR="00FB4B60" w:rsidRPr="00FB4B60" w:rsidRDefault="00FB4B60" w:rsidP="00FB4B60">
            <w:pPr>
              <w:spacing w:before="0" w:beforeAutospacing="0" w:after="0" w:afterAutospacing="0" w:line="240" w:lineRule="auto"/>
              <w:jc w:val="left"/>
              <w:rPr>
                <w:rFonts w:ascii="Calibri" w:eastAsia="Times New Roman" w:hAnsi="Calibri" w:cs="Calibri"/>
                <w:color w:val="000000"/>
                <w:lang w:val="es-NI" w:eastAsia="es-NI"/>
              </w:rPr>
            </w:pPr>
            <w:r w:rsidRPr="00FB4B60">
              <w:rPr>
                <w:rFonts w:ascii="Calibri" w:eastAsia="Times New Roman" w:hAnsi="Calibri" w:cs="Calibri"/>
                <w:bCs/>
                <w:color w:val="000000"/>
                <w:lang w:eastAsia="es-NI"/>
              </w:rPr>
              <w:t>Hospitales (Públicos)</w:t>
            </w:r>
          </w:p>
        </w:tc>
        <w:tc>
          <w:tcPr>
            <w:tcW w:w="1418" w:type="dxa"/>
            <w:tcBorders>
              <w:top w:val="nil"/>
              <w:left w:val="nil"/>
              <w:bottom w:val="single" w:sz="8" w:space="0" w:color="5B9BD5"/>
              <w:right w:val="single" w:sz="8" w:space="0" w:color="5B9BD5"/>
            </w:tcBorders>
            <w:shd w:val="clear" w:color="auto" w:fill="auto"/>
            <w:noWrap/>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eastAsia="es-NI"/>
              </w:rPr>
              <w:t>0.5</w:t>
            </w:r>
          </w:p>
        </w:tc>
        <w:tc>
          <w:tcPr>
            <w:tcW w:w="668" w:type="dxa"/>
            <w:tcBorders>
              <w:top w:val="nil"/>
              <w:left w:val="nil"/>
              <w:bottom w:val="single" w:sz="8" w:space="0" w:color="5B9BD5"/>
              <w:right w:val="single" w:sz="8" w:space="0" w:color="5B9BD5"/>
            </w:tcBorders>
            <w:shd w:val="clear" w:color="auto" w:fill="auto"/>
            <w:noWrap/>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eastAsia="es-NI"/>
              </w:rPr>
              <w:t>14.5</w:t>
            </w:r>
          </w:p>
        </w:tc>
        <w:tc>
          <w:tcPr>
            <w:tcW w:w="1240" w:type="dxa"/>
            <w:tcBorders>
              <w:top w:val="nil"/>
              <w:left w:val="nil"/>
              <w:bottom w:val="single" w:sz="8" w:space="0" w:color="5B9BD5"/>
              <w:right w:val="single" w:sz="8" w:space="0" w:color="5B9BD5"/>
            </w:tcBorders>
            <w:shd w:val="clear" w:color="auto" w:fill="auto"/>
            <w:noWrap/>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eastAsia="es-NI"/>
              </w:rPr>
              <w:t>1.0</w:t>
            </w:r>
          </w:p>
        </w:tc>
        <w:tc>
          <w:tcPr>
            <w:tcW w:w="629" w:type="dxa"/>
            <w:tcBorders>
              <w:top w:val="nil"/>
              <w:left w:val="nil"/>
              <w:bottom w:val="single" w:sz="8" w:space="0" w:color="5B9BD5"/>
              <w:right w:val="single" w:sz="8" w:space="0" w:color="5B9BD5"/>
            </w:tcBorders>
            <w:shd w:val="clear" w:color="auto" w:fill="auto"/>
            <w:noWrap/>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eastAsia="es-NI"/>
              </w:rPr>
              <w:t>23.3</w:t>
            </w:r>
          </w:p>
        </w:tc>
        <w:tc>
          <w:tcPr>
            <w:tcW w:w="1227" w:type="dxa"/>
            <w:tcBorders>
              <w:top w:val="nil"/>
              <w:left w:val="nil"/>
              <w:bottom w:val="single" w:sz="8" w:space="0" w:color="5B9BD5"/>
              <w:right w:val="single" w:sz="8" w:space="0" w:color="5B9BD5"/>
            </w:tcBorders>
            <w:shd w:val="clear" w:color="auto" w:fill="auto"/>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eastAsia="es-NI"/>
              </w:rPr>
              <w:t>0.3</w:t>
            </w:r>
          </w:p>
        </w:tc>
        <w:tc>
          <w:tcPr>
            <w:tcW w:w="629" w:type="dxa"/>
            <w:tcBorders>
              <w:top w:val="nil"/>
              <w:left w:val="nil"/>
              <w:bottom w:val="single" w:sz="8" w:space="0" w:color="5B9BD5"/>
              <w:right w:val="single" w:sz="8" w:space="0" w:color="5B9BD5"/>
            </w:tcBorders>
            <w:shd w:val="clear" w:color="auto" w:fill="auto"/>
            <w:noWrap/>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eastAsia="es-NI"/>
              </w:rPr>
              <w:t>6.3</w:t>
            </w:r>
          </w:p>
        </w:tc>
        <w:tc>
          <w:tcPr>
            <w:tcW w:w="1207" w:type="dxa"/>
            <w:tcBorders>
              <w:top w:val="nil"/>
              <w:left w:val="nil"/>
              <w:bottom w:val="single" w:sz="8" w:space="0" w:color="5B9BD5"/>
              <w:right w:val="single" w:sz="8" w:space="0" w:color="auto"/>
            </w:tcBorders>
            <w:shd w:val="clear" w:color="auto" w:fill="auto"/>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val="es-NI" w:eastAsia="es-NI"/>
              </w:rPr>
              <w:t>0.3</w:t>
            </w:r>
          </w:p>
        </w:tc>
        <w:tc>
          <w:tcPr>
            <w:tcW w:w="960" w:type="dxa"/>
            <w:tcBorders>
              <w:top w:val="nil"/>
              <w:left w:val="nil"/>
              <w:bottom w:val="single" w:sz="8" w:space="0" w:color="5B9BD5"/>
              <w:right w:val="single" w:sz="8" w:space="0" w:color="5B9BD5"/>
            </w:tcBorders>
            <w:shd w:val="clear" w:color="auto" w:fill="auto"/>
            <w:noWrap/>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eastAsia="es-NI"/>
              </w:rPr>
              <w:t>5.7</w:t>
            </w:r>
          </w:p>
        </w:tc>
      </w:tr>
      <w:tr w:rsidR="00FB4B60" w:rsidRPr="00FB4B60" w:rsidTr="00FB4B60">
        <w:trPr>
          <w:trHeight w:val="315"/>
        </w:trPr>
        <w:tc>
          <w:tcPr>
            <w:tcW w:w="1843" w:type="dxa"/>
            <w:tcBorders>
              <w:top w:val="nil"/>
              <w:left w:val="single" w:sz="8" w:space="0" w:color="5B9BD5"/>
              <w:bottom w:val="single" w:sz="8" w:space="0" w:color="5B9BD5"/>
              <w:right w:val="single" w:sz="8" w:space="0" w:color="5B9BD5"/>
            </w:tcBorders>
            <w:shd w:val="clear" w:color="auto" w:fill="auto"/>
            <w:noWrap/>
            <w:vAlign w:val="center"/>
            <w:hideMark/>
          </w:tcPr>
          <w:p w:rsidR="00FB4B60" w:rsidRPr="00FB4B60" w:rsidRDefault="00FB4B60" w:rsidP="00FB4B60">
            <w:pPr>
              <w:spacing w:before="0" w:beforeAutospacing="0" w:after="0" w:afterAutospacing="0" w:line="240" w:lineRule="auto"/>
              <w:rPr>
                <w:rFonts w:ascii="Calibri" w:eastAsia="Times New Roman" w:hAnsi="Calibri" w:cs="Calibri"/>
                <w:color w:val="000000"/>
                <w:lang w:val="es-NI" w:eastAsia="es-NI"/>
              </w:rPr>
            </w:pPr>
            <w:r w:rsidRPr="00FB4B60">
              <w:rPr>
                <w:rFonts w:ascii="Calibri" w:eastAsia="Times New Roman" w:hAnsi="Calibri" w:cs="Calibri"/>
                <w:bCs/>
                <w:color w:val="000000"/>
                <w:lang w:eastAsia="es-NI"/>
              </w:rPr>
              <w:t>Atención ambulatoria (Centros de Salud Públicos)</w:t>
            </w:r>
          </w:p>
        </w:tc>
        <w:tc>
          <w:tcPr>
            <w:tcW w:w="1418" w:type="dxa"/>
            <w:tcBorders>
              <w:top w:val="nil"/>
              <w:left w:val="nil"/>
              <w:bottom w:val="single" w:sz="8" w:space="0" w:color="5B9BD5"/>
              <w:right w:val="single" w:sz="8" w:space="0" w:color="5B9BD5"/>
            </w:tcBorders>
            <w:shd w:val="clear" w:color="auto" w:fill="auto"/>
            <w:noWrap/>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eastAsia="es-NI"/>
              </w:rPr>
              <w:t>2.2</w:t>
            </w:r>
          </w:p>
        </w:tc>
        <w:tc>
          <w:tcPr>
            <w:tcW w:w="668" w:type="dxa"/>
            <w:tcBorders>
              <w:top w:val="nil"/>
              <w:left w:val="nil"/>
              <w:bottom w:val="single" w:sz="8" w:space="0" w:color="5B9BD5"/>
              <w:right w:val="single" w:sz="8" w:space="0" w:color="5B9BD5"/>
            </w:tcBorders>
            <w:shd w:val="clear" w:color="auto" w:fill="auto"/>
            <w:noWrap/>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eastAsia="es-NI"/>
              </w:rPr>
              <w:t>61.7</w:t>
            </w:r>
          </w:p>
        </w:tc>
        <w:tc>
          <w:tcPr>
            <w:tcW w:w="1240" w:type="dxa"/>
            <w:tcBorders>
              <w:top w:val="nil"/>
              <w:left w:val="nil"/>
              <w:bottom w:val="single" w:sz="8" w:space="0" w:color="5B9BD5"/>
              <w:right w:val="single" w:sz="8" w:space="0" w:color="5B9BD5"/>
            </w:tcBorders>
            <w:shd w:val="clear" w:color="auto" w:fill="auto"/>
            <w:noWrap/>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eastAsia="es-NI"/>
              </w:rPr>
              <w:t>2.5</w:t>
            </w:r>
          </w:p>
        </w:tc>
        <w:tc>
          <w:tcPr>
            <w:tcW w:w="629" w:type="dxa"/>
            <w:tcBorders>
              <w:top w:val="nil"/>
              <w:left w:val="nil"/>
              <w:bottom w:val="single" w:sz="8" w:space="0" w:color="5B9BD5"/>
              <w:right w:val="single" w:sz="8" w:space="0" w:color="5B9BD5"/>
            </w:tcBorders>
            <w:shd w:val="clear" w:color="auto" w:fill="auto"/>
            <w:noWrap/>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val="es-NI" w:eastAsia="es-NI"/>
              </w:rPr>
              <w:t>57.1</w:t>
            </w:r>
          </w:p>
        </w:tc>
        <w:tc>
          <w:tcPr>
            <w:tcW w:w="1227" w:type="dxa"/>
            <w:tcBorders>
              <w:top w:val="nil"/>
              <w:left w:val="nil"/>
              <w:bottom w:val="single" w:sz="8" w:space="0" w:color="5B9BD5"/>
              <w:right w:val="single" w:sz="8" w:space="0" w:color="5B9BD5"/>
            </w:tcBorders>
            <w:shd w:val="clear" w:color="auto" w:fill="auto"/>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eastAsia="es-NI"/>
              </w:rPr>
              <w:t>2.6</w:t>
            </w:r>
          </w:p>
        </w:tc>
        <w:tc>
          <w:tcPr>
            <w:tcW w:w="629" w:type="dxa"/>
            <w:tcBorders>
              <w:top w:val="nil"/>
              <w:left w:val="nil"/>
              <w:bottom w:val="single" w:sz="8" w:space="0" w:color="5B9BD5"/>
              <w:right w:val="single" w:sz="8" w:space="0" w:color="5B9BD5"/>
            </w:tcBorders>
            <w:shd w:val="clear" w:color="auto" w:fill="auto"/>
            <w:noWrap/>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val="es-NI" w:eastAsia="es-NI"/>
              </w:rPr>
              <w:t>57.0</w:t>
            </w:r>
          </w:p>
        </w:tc>
        <w:tc>
          <w:tcPr>
            <w:tcW w:w="1207" w:type="dxa"/>
            <w:tcBorders>
              <w:top w:val="nil"/>
              <w:left w:val="nil"/>
              <w:bottom w:val="single" w:sz="8" w:space="0" w:color="5B9BD5"/>
              <w:right w:val="single" w:sz="8" w:space="0" w:color="auto"/>
            </w:tcBorders>
            <w:shd w:val="clear" w:color="auto" w:fill="auto"/>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val="es-NI" w:eastAsia="es-NI"/>
              </w:rPr>
              <w:t>3.2</w:t>
            </w:r>
          </w:p>
        </w:tc>
        <w:tc>
          <w:tcPr>
            <w:tcW w:w="960" w:type="dxa"/>
            <w:tcBorders>
              <w:top w:val="nil"/>
              <w:left w:val="nil"/>
              <w:bottom w:val="single" w:sz="8" w:space="0" w:color="5B9BD5"/>
              <w:right w:val="single" w:sz="8" w:space="0" w:color="5B9BD5"/>
            </w:tcBorders>
            <w:shd w:val="clear" w:color="auto" w:fill="auto"/>
            <w:noWrap/>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val="es-NI" w:eastAsia="es-NI"/>
              </w:rPr>
              <w:t>58.6</w:t>
            </w:r>
          </w:p>
        </w:tc>
      </w:tr>
      <w:tr w:rsidR="00FB4B60" w:rsidRPr="00FB4B60" w:rsidTr="00FB4B60">
        <w:trPr>
          <w:trHeight w:val="315"/>
        </w:trPr>
        <w:tc>
          <w:tcPr>
            <w:tcW w:w="1843" w:type="dxa"/>
            <w:tcBorders>
              <w:top w:val="nil"/>
              <w:left w:val="single" w:sz="8" w:space="0" w:color="5B9BD5"/>
              <w:bottom w:val="single" w:sz="8" w:space="0" w:color="5B9BD5"/>
              <w:right w:val="single" w:sz="8" w:space="0" w:color="5B9BD5"/>
            </w:tcBorders>
            <w:shd w:val="clear" w:color="auto" w:fill="auto"/>
            <w:noWrap/>
            <w:vAlign w:val="center"/>
            <w:hideMark/>
          </w:tcPr>
          <w:p w:rsidR="00FB4B60" w:rsidRPr="00FB4B60" w:rsidRDefault="00FB4B60" w:rsidP="00FB4B60">
            <w:pPr>
              <w:spacing w:before="0" w:beforeAutospacing="0" w:after="0" w:afterAutospacing="0" w:line="240" w:lineRule="auto"/>
              <w:rPr>
                <w:rFonts w:ascii="Calibri" w:eastAsia="Times New Roman" w:hAnsi="Calibri" w:cs="Calibri"/>
                <w:color w:val="000000"/>
                <w:lang w:val="es-NI" w:eastAsia="es-NI"/>
              </w:rPr>
            </w:pPr>
            <w:r w:rsidRPr="00FB4B60">
              <w:rPr>
                <w:rFonts w:ascii="Calibri" w:eastAsia="Times New Roman" w:hAnsi="Calibri" w:cs="Calibri"/>
                <w:bCs/>
                <w:color w:val="000000"/>
                <w:lang w:eastAsia="es-NI"/>
              </w:rPr>
              <w:t>Centros de salud mental y abuso de sustancias</w:t>
            </w:r>
          </w:p>
        </w:tc>
        <w:tc>
          <w:tcPr>
            <w:tcW w:w="1418" w:type="dxa"/>
            <w:tcBorders>
              <w:top w:val="nil"/>
              <w:left w:val="nil"/>
              <w:bottom w:val="single" w:sz="8" w:space="0" w:color="5B9BD5"/>
              <w:right w:val="single" w:sz="8" w:space="0" w:color="5B9BD5"/>
            </w:tcBorders>
            <w:shd w:val="clear" w:color="auto" w:fill="auto"/>
            <w:noWrap/>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eastAsia="es-NI"/>
              </w:rPr>
              <w:t>0.1</w:t>
            </w:r>
          </w:p>
        </w:tc>
        <w:tc>
          <w:tcPr>
            <w:tcW w:w="668" w:type="dxa"/>
            <w:tcBorders>
              <w:top w:val="nil"/>
              <w:left w:val="nil"/>
              <w:bottom w:val="single" w:sz="8" w:space="0" w:color="5B9BD5"/>
              <w:right w:val="single" w:sz="8" w:space="0" w:color="5B9BD5"/>
            </w:tcBorders>
            <w:shd w:val="clear" w:color="auto" w:fill="auto"/>
            <w:noWrap/>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eastAsia="es-NI"/>
              </w:rPr>
              <w:t>3.4</w:t>
            </w:r>
          </w:p>
        </w:tc>
        <w:tc>
          <w:tcPr>
            <w:tcW w:w="1240" w:type="dxa"/>
            <w:tcBorders>
              <w:top w:val="nil"/>
              <w:left w:val="nil"/>
              <w:bottom w:val="single" w:sz="8" w:space="0" w:color="5B9BD5"/>
              <w:right w:val="single" w:sz="8" w:space="0" w:color="5B9BD5"/>
            </w:tcBorders>
            <w:shd w:val="clear" w:color="auto" w:fill="auto"/>
            <w:noWrap/>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eastAsia="es-NI"/>
              </w:rPr>
              <w:t>0.1</w:t>
            </w:r>
          </w:p>
        </w:tc>
        <w:tc>
          <w:tcPr>
            <w:tcW w:w="629" w:type="dxa"/>
            <w:tcBorders>
              <w:top w:val="nil"/>
              <w:left w:val="nil"/>
              <w:bottom w:val="single" w:sz="8" w:space="0" w:color="5B9BD5"/>
              <w:right w:val="single" w:sz="8" w:space="0" w:color="5B9BD5"/>
            </w:tcBorders>
            <w:shd w:val="clear" w:color="auto" w:fill="auto"/>
            <w:noWrap/>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val="es-NI" w:eastAsia="es-NI"/>
              </w:rPr>
              <w:t>2.9</w:t>
            </w:r>
          </w:p>
        </w:tc>
        <w:tc>
          <w:tcPr>
            <w:tcW w:w="1227" w:type="dxa"/>
            <w:tcBorders>
              <w:top w:val="nil"/>
              <w:left w:val="nil"/>
              <w:bottom w:val="single" w:sz="8" w:space="0" w:color="5B9BD5"/>
              <w:right w:val="single" w:sz="8" w:space="0" w:color="5B9BD5"/>
            </w:tcBorders>
            <w:shd w:val="clear" w:color="auto" w:fill="auto"/>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eastAsia="es-NI"/>
              </w:rPr>
              <w:t>0.1</w:t>
            </w:r>
          </w:p>
        </w:tc>
        <w:tc>
          <w:tcPr>
            <w:tcW w:w="629" w:type="dxa"/>
            <w:tcBorders>
              <w:top w:val="nil"/>
              <w:left w:val="nil"/>
              <w:bottom w:val="single" w:sz="8" w:space="0" w:color="5B9BD5"/>
              <w:right w:val="single" w:sz="8" w:space="0" w:color="5B9BD5"/>
            </w:tcBorders>
            <w:shd w:val="clear" w:color="auto" w:fill="auto"/>
            <w:noWrap/>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val="es-NI" w:eastAsia="es-NI"/>
              </w:rPr>
              <w:t>3.0</w:t>
            </w:r>
          </w:p>
        </w:tc>
        <w:tc>
          <w:tcPr>
            <w:tcW w:w="1207" w:type="dxa"/>
            <w:tcBorders>
              <w:top w:val="nil"/>
              <w:left w:val="nil"/>
              <w:bottom w:val="single" w:sz="8" w:space="0" w:color="5B9BD5"/>
              <w:right w:val="single" w:sz="8" w:space="0" w:color="auto"/>
            </w:tcBorders>
            <w:shd w:val="clear" w:color="auto" w:fill="auto"/>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val="es-NI" w:eastAsia="es-NI"/>
              </w:rPr>
              <w:t>0.1</w:t>
            </w:r>
          </w:p>
        </w:tc>
        <w:tc>
          <w:tcPr>
            <w:tcW w:w="960" w:type="dxa"/>
            <w:tcBorders>
              <w:top w:val="nil"/>
              <w:left w:val="nil"/>
              <w:bottom w:val="single" w:sz="8" w:space="0" w:color="5B9BD5"/>
              <w:right w:val="single" w:sz="8" w:space="0" w:color="5B9BD5"/>
            </w:tcBorders>
            <w:shd w:val="clear" w:color="auto" w:fill="auto"/>
            <w:noWrap/>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val="es-NI" w:eastAsia="es-NI"/>
              </w:rPr>
              <w:t>2.6</w:t>
            </w:r>
          </w:p>
        </w:tc>
      </w:tr>
      <w:tr w:rsidR="00FB4B60" w:rsidRPr="00FB4B60" w:rsidTr="00FB4B60">
        <w:trPr>
          <w:trHeight w:val="315"/>
        </w:trPr>
        <w:tc>
          <w:tcPr>
            <w:tcW w:w="1843" w:type="dxa"/>
            <w:tcBorders>
              <w:top w:val="nil"/>
              <w:left w:val="single" w:sz="8" w:space="0" w:color="5B9BD5"/>
              <w:bottom w:val="single" w:sz="8" w:space="0" w:color="5B9BD5"/>
              <w:right w:val="single" w:sz="8" w:space="0" w:color="5B9BD5"/>
            </w:tcBorders>
            <w:shd w:val="clear" w:color="auto" w:fill="auto"/>
            <w:noWrap/>
            <w:vAlign w:val="center"/>
            <w:hideMark/>
          </w:tcPr>
          <w:p w:rsidR="00FB4B60" w:rsidRPr="00FB4B60" w:rsidRDefault="00FB4B60" w:rsidP="00FB4B60">
            <w:pPr>
              <w:spacing w:before="0" w:beforeAutospacing="0" w:after="0" w:afterAutospacing="0" w:line="240" w:lineRule="auto"/>
              <w:rPr>
                <w:rFonts w:ascii="Calibri" w:eastAsia="Times New Roman" w:hAnsi="Calibri" w:cs="Calibri"/>
                <w:color w:val="000000"/>
                <w:lang w:val="es-NI" w:eastAsia="es-NI"/>
              </w:rPr>
            </w:pPr>
            <w:r w:rsidRPr="00FB4B60">
              <w:rPr>
                <w:rFonts w:ascii="Calibri" w:eastAsia="Times New Roman" w:hAnsi="Calibri" w:cs="Calibri"/>
                <w:bCs/>
                <w:color w:val="000000"/>
                <w:lang w:eastAsia="es-NI"/>
              </w:rPr>
              <w:t>Educación superior (Universidades)</w:t>
            </w:r>
          </w:p>
        </w:tc>
        <w:tc>
          <w:tcPr>
            <w:tcW w:w="1418" w:type="dxa"/>
            <w:tcBorders>
              <w:top w:val="nil"/>
              <w:left w:val="nil"/>
              <w:bottom w:val="single" w:sz="8" w:space="0" w:color="5B9BD5"/>
              <w:right w:val="single" w:sz="8" w:space="0" w:color="5B9BD5"/>
            </w:tcBorders>
            <w:shd w:val="clear" w:color="auto" w:fill="auto"/>
            <w:noWrap/>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eastAsia="es-NI"/>
              </w:rPr>
              <w:t>0.0</w:t>
            </w:r>
          </w:p>
        </w:tc>
        <w:tc>
          <w:tcPr>
            <w:tcW w:w="668" w:type="dxa"/>
            <w:tcBorders>
              <w:top w:val="nil"/>
              <w:left w:val="nil"/>
              <w:bottom w:val="single" w:sz="8" w:space="0" w:color="5B9BD5"/>
              <w:right w:val="single" w:sz="8" w:space="0" w:color="5B9BD5"/>
            </w:tcBorders>
            <w:shd w:val="clear" w:color="auto" w:fill="auto"/>
            <w:noWrap/>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eastAsia="es-NI"/>
              </w:rPr>
              <w:t>0.5</w:t>
            </w:r>
          </w:p>
        </w:tc>
        <w:tc>
          <w:tcPr>
            <w:tcW w:w="1240" w:type="dxa"/>
            <w:tcBorders>
              <w:top w:val="nil"/>
              <w:left w:val="nil"/>
              <w:bottom w:val="single" w:sz="8" w:space="0" w:color="5B9BD5"/>
              <w:right w:val="single" w:sz="8" w:space="0" w:color="5B9BD5"/>
            </w:tcBorders>
            <w:shd w:val="clear" w:color="auto" w:fill="auto"/>
            <w:noWrap/>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eastAsia="es-NI"/>
              </w:rPr>
              <w:t>0.0</w:t>
            </w:r>
          </w:p>
        </w:tc>
        <w:tc>
          <w:tcPr>
            <w:tcW w:w="629" w:type="dxa"/>
            <w:tcBorders>
              <w:top w:val="nil"/>
              <w:left w:val="nil"/>
              <w:bottom w:val="single" w:sz="8" w:space="0" w:color="5B9BD5"/>
              <w:right w:val="single" w:sz="8" w:space="0" w:color="5B9BD5"/>
            </w:tcBorders>
            <w:shd w:val="clear" w:color="auto" w:fill="auto"/>
            <w:noWrap/>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val="es-NI" w:eastAsia="es-NI"/>
              </w:rPr>
              <w:t>0.1</w:t>
            </w:r>
          </w:p>
        </w:tc>
        <w:tc>
          <w:tcPr>
            <w:tcW w:w="1227" w:type="dxa"/>
            <w:tcBorders>
              <w:top w:val="nil"/>
              <w:left w:val="nil"/>
              <w:bottom w:val="single" w:sz="8" w:space="0" w:color="5B9BD5"/>
              <w:right w:val="single" w:sz="8" w:space="0" w:color="5B9BD5"/>
            </w:tcBorders>
            <w:shd w:val="clear" w:color="auto" w:fill="auto"/>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eastAsia="es-NI"/>
              </w:rPr>
              <w:t>0.0</w:t>
            </w:r>
          </w:p>
        </w:tc>
        <w:tc>
          <w:tcPr>
            <w:tcW w:w="629" w:type="dxa"/>
            <w:tcBorders>
              <w:top w:val="nil"/>
              <w:left w:val="nil"/>
              <w:bottom w:val="single" w:sz="8" w:space="0" w:color="5B9BD5"/>
              <w:right w:val="single" w:sz="8" w:space="0" w:color="5B9BD5"/>
            </w:tcBorders>
            <w:shd w:val="clear" w:color="auto" w:fill="auto"/>
            <w:noWrap/>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val="es-NI" w:eastAsia="es-NI"/>
              </w:rPr>
              <w:t>0.1</w:t>
            </w:r>
          </w:p>
        </w:tc>
        <w:tc>
          <w:tcPr>
            <w:tcW w:w="1207" w:type="dxa"/>
            <w:tcBorders>
              <w:top w:val="nil"/>
              <w:left w:val="nil"/>
              <w:bottom w:val="single" w:sz="8" w:space="0" w:color="5B9BD5"/>
              <w:right w:val="single" w:sz="8" w:space="0" w:color="auto"/>
            </w:tcBorders>
            <w:shd w:val="clear" w:color="auto" w:fill="auto"/>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val="es-NI" w:eastAsia="es-NI"/>
              </w:rPr>
              <w:t>-</w:t>
            </w:r>
          </w:p>
        </w:tc>
        <w:tc>
          <w:tcPr>
            <w:tcW w:w="960" w:type="dxa"/>
            <w:tcBorders>
              <w:top w:val="nil"/>
              <w:left w:val="nil"/>
              <w:bottom w:val="single" w:sz="8" w:space="0" w:color="5B9BD5"/>
              <w:right w:val="single" w:sz="8" w:space="0" w:color="5B9BD5"/>
            </w:tcBorders>
            <w:shd w:val="clear" w:color="auto" w:fill="auto"/>
            <w:noWrap/>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val="es-NI" w:eastAsia="es-NI"/>
              </w:rPr>
              <w:t>-</w:t>
            </w:r>
          </w:p>
        </w:tc>
      </w:tr>
      <w:tr w:rsidR="00FB4B60" w:rsidRPr="00FB4B60" w:rsidTr="00FB4B60">
        <w:trPr>
          <w:trHeight w:val="315"/>
        </w:trPr>
        <w:tc>
          <w:tcPr>
            <w:tcW w:w="1843" w:type="dxa"/>
            <w:tcBorders>
              <w:top w:val="nil"/>
              <w:left w:val="single" w:sz="8" w:space="0" w:color="5B9BD5"/>
              <w:bottom w:val="single" w:sz="8" w:space="0" w:color="5B9BD5"/>
              <w:right w:val="single" w:sz="8" w:space="0" w:color="5B9BD5"/>
            </w:tcBorders>
            <w:shd w:val="clear" w:color="auto" w:fill="auto"/>
            <w:noWrap/>
            <w:vAlign w:val="center"/>
            <w:hideMark/>
          </w:tcPr>
          <w:p w:rsidR="00FB4B60" w:rsidRPr="00FB4B60" w:rsidRDefault="00FB4B60" w:rsidP="00FB4B60">
            <w:pPr>
              <w:spacing w:before="0" w:beforeAutospacing="0" w:after="0" w:afterAutospacing="0" w:line="240" w:lineRule="auto"/>
              <w:rPr>
                <w:rFonts w:ascii="Calibri" w:eastAsia="Times New Roman" w:hAnsi="Calibri" w:cs="Calibri"/>
                <w:color w:val="000000"/>
                <w:lang w:val="es-NI" w:eastAsia="es-NI"/>
              </w:rPr>
            </w:pPr>
            <w:r w:rsidRPr="00FB4B60">
              <w:rPr>
                <w:rFonts w:ascii="Calibri" w:eastAsia="Times New Roman" w:hAnsi="Calibri" w:cs="Calibri"/>
                <w:bCs/>
                <w:color w:val="000000"/>
                <w:lang w:eastAsia="es-NI"/>
              </w:rPr>
              <w:t xml:space="preserve">Escuelas y centros de capacitación (Ministerio de Educación </w:t>
            </w:r>
          </w:p>
        </w:tc>
        <w:tc>
          <w:tcPr>
            <w:tcW w:w="1418" w:type="dxa"/>
            <w:tcBorders>
              <w:top w:val="nil"/>
              <w:left w:val="nil"/>
              <w:bottom w:val="single" w:sz="8" w:space="0" w:color="5B9BD5"/>
              <w:right w:val="single" w:sz="8" w:space="0" w:color="5B9BD5"/>
            </w:tcBorders>
            <w:shd w:val="clear" w:color="auto" w:fill="auto"/>
            <w:noWrap/>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eastAsia="es-NI"/>
              </w:rPr>
              <w:t>0.0</w:t>
            </w:r>
          </w:p>
        </w:tc>
        <w:tc>
          <w:tcPr>
            <w:tcW w:w="668" w:type="dxa"/>
            <w:tcBorders>
              <w:top w:val="nil"/>
              <w:left w:val="nil"/>
              <w:bottom w:val="single" w:sz="8" w:space="0" w:color="5B9BD5"/>
              <w:right w:val="single" w:sz="8" w:space="0" w:color="5B9BD5"/>
            </w:tcBorders>
            <w:shd w:val="clear" w:color="auto" w:fill="auto"/>
            <w:noWrap/>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eastAsia="es-NI"/>
              </w:rPr>
              <w:t>0.4</w:t>
            </w:r>
          </w:p>
        </w:tc>
        <w:tc>
          <w:tcPr>
            <w:tcW w:w="1240" w:type="dxa"/>
            <w:tcBorders>
              <w:top w:val="nil"/>
              <w:left w:val="nil"/>
              <w:bottom w:val="single" w:sz="8" w:space="0" w:color="5B9BD5"/>
              <w:right w:val="single" w:sz="8" w:space="0" w:color="5B9BD5"/>
            </w:tcBorders>
            <w:shd w:val="clear" w:color="auto" w:fill="auto"/>
            <w:noWrap/>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eastAsia="es-NI"/>
              </w:rPr>
              <w:t>0.0</w:t>
            </w:r>
          </w:p>
        </w:tc>
        <w:tc>
          <w:tcPr>
            <w:tcW w:w="629" w:type="dxa"/>
            <w:tcBorders>
              <w:top w:val="nil"/>
              <w:left w:val="nil"/>
              <w:bottom w:val="single" w:sz="8" w:space="0" w:color="5B9BD5"/>
              <w:right w:val="single" w:sz="8" w:space="0" w:color="5B9BD5"/>
            </w:tcBorders>
            <w:shd w:val="clear" w:color="auto" w:fill="auto"/>
            <w:noWrap/>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val="es-NI" w:eastAsia="es-NI"/>
              </w:rPr>
              <w:t>0.3</w:t>
            </w:r>
          </w:p>
        </w:tc>
        <w:tc>
          <w:tcPr>
            <w:tcW w:w="1227" w:type="dxa"/>
            <w:tcBorders>
              <w:top w:val="nil"/>
              <w:left w:val="nil"/>
              <w:bottom w:val="single" w:sz="8" w:space="0" w:color="5B9BD5"/>
              <w:right w:val="single" w:sz="8" w:space="0" w:color="5B9BD5"/>
            </w:tcBorders>
            <w:shd w:val="clear" w:color="auto" w:fill="auto"/>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eastAsia="es-NI"/>
              </w:rPr>
              <w:t>0.0</w:t>
            </w:r>
          </w:p>
        </w:tc>
        <w:tc>
          <w:tcPr>
            <w:tcW w:w="629" w:type="dxa"/>
            <w:tcBorders>
              <w:top w:val="nil"/>
              <w:left w:val="nil"/>
              <w:bottom w:val="single" w:sz="8" w:space="0" w:color="5B9BD5"/>
              <w:right w:val="single" w:sz="8" w:space="0" w:color="5B9BD5"/>
            </w:tcBorders>
            <w:shd w:val="clear" w:color="auto" w:fill="auto"/>
            <w:noWrap/>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val="es-NI" w:eastAsia="es-NI"/>
              </w:rPr>
              <w:t>0.2</w:t>
            </w:r>
          </w:p>
        </w:tc>
        <w:tc>
          <w:tcPr>
            <w:tcW w:w="1207" w:type="dxa"/>
            <w:tcBorders>
              <w:top w:val="nil"/>
              <w:left w:val="nil"/>
              <w:bottom w:val="single" w:sz="8" w:space="0" w:color="5B9BD5"/>
              <w:right w:val="single" w:sz="8" w:space="0" w:color="auto"/>
            </w:tcBorders>
            <w:shd w:val="clear" w:color="auto" w:fill="auto"/>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val="es-NI" w:eastAsia="es-NI"/>
              </w:rPr>
              <w:t>-</w:t>
            </w:r>
          </w:p>
        </w:tc>
        <w:tc>
          <w:tcPr>
            <w:tcW w:w="960" w:type="dxa"/>
            <w:tcBorders>
              <w:top w:val="nil"/>
              <w:left w:val="nil"/>
              <w:bottom w:val="single" w:sz="8" w:space="0" w:color="5B9BD5"/>
              <w:right w:val="single" w:sz="8" w:space="0" w:color="5B9BD5"/>
            </w:tcBorders>
            <w:shd w:val="clear" w:color="auto" w:fill="auto"/>
            <w:noWrap/>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val="es-NI" w:eastAsia="es-NI"/>
              </w:rPr>
              <w:t>-</w:t>
            </w:r>
          </w:p>
        </w:tc>
      </w:tr>
      <w:tr w:rsidR="00FB4B60" w:rsidRPr="00FB4B60" w:rsidTr="00FB4B60">
        <w:trPr>
          <w:trHeight w:val="315"/>
        </w:trPr>
        <w:tc>
          <w:tcPr>
            <w:tcW w:w="1843" w:type="dxa"/>
            <w:tcBorders>
              <w:top w:val="nil"/>
              <w:left w:val="single" w:sz="8" w:space="0" w:color="5B9BD5"/>
              <w:bottom w:val="single" w:sz="8" w:space="0" w:color="5B9BD5"/>
              <w:right w:val="single" w:sz="8" w:space="0" w:color="5B9BD5"/>
            </w:tcBorders>
            <w:shd w:val="clear" w:color="auto" w:fill="auto"/>
            <w:noWrap/>
            <w:vAlign w:val="center"/>
            <w:hideMark/>
          </w:tcPr>
          <w:p w:rsidR="00FB4B60" w:rsidRPr="00FB4B60" w:rsidRDefault="00FB4B60" w:rsidP="00FB4B60">
            <w:pPr>
              <w:spacing w:before="0" w:beforeAutospacing="0" w:after="0" w:afterAutospacing="0" w:line="240" w:lineRule="auto"/>
              <w:rPr>
                <w:rFonts w:ascii="Calibri" w:eastAsia="Times New Roman" w:hAnsi="Calibri" w:cs="Calibri"/>
                <w:color w:val="000000"/>
                <w:lang w:val="es-NI" w:eastAsia="es-NI"/>
              </w:rPr>
            </w:pPr>
            <w:r w:rsidRPr="00FB4B60">
              <w:rPr>
                <w:rFonts w:ascii="Calibri" w:eastAsia="Times New Roman" w:hAnsi="Calibri" w:cs="Calibri"/>
                <w:bCs/>
                <w:color w:val="000000"/>
                <w:lang w:eastAsia="es-NI"/>
              </w:rPr>
              <w:t>SILAIS y Municipios</w:t>
            </w:r>
          </w:p>
        </w:tc>
        <w:tc>
          <w:tcPr>
            <w:tcW w:w="1418" w:type="dxa"/>
            <w:tcBorders>
              <w:top w:val="nil"/>
              <w:left w:val="nil"/>
              <w:bottom w:val="single" w:sz="8" w:space="0" w:color="5B9BD5"/>
              <w:right w:val="single" w:sz="8" w:space="0" w:color="5B9BD5"/>
            </w:tcBorders>
            <w:shd w:val="clear" w:color="auto" w:fill="auto"/>
            <w:noWrap/>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eastAsia="es-NI"/>
              </w:rPr>
              <w:t>0.3</w:t>
            </w:r>
          </w:p>
        </w:tc>
        <w:tc>
          <w:tcPr>
            <w:tcW w:w="668" w:type="dxa"/>
            <w:tcBorders>
              <w:top w:val="nil"/>
              <w:left w:val="nil"/>
              <w:bottom w:val="single" w:sz="8" w:space="0" w:color="5B9BD5"/>
              <w:right w:val="single" w:sz="8" w:space="0" w:color="5B9BD5"/>
            </w:tcBorders>
            <w:shd w:val="clear" w:color="auto" w:fill="auto"/>
            <w:noWrap/>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eastAsia="es-NI"/>
              </w:rPr>
              <w:t>8.7</w:t>
            </w:r>
          </w:p>
        </w:tc>
        <w:tc>
          <w:tcPr>
            <w:tcW w:w="1240" w:type="dxa"/>
            <w:tcBorders>
              <w:top w:val="nil"/>
              <w:left w:val="nil"/>
              <w:bottom w:val="single" w:sz="8" w:space="0" w:color="5B9BD5"/>
              <w:right w:val="single" w:sz="8" w:space="0" w:color="5B9BD5"/>
            </w:tcBorders>
            <w:shd w:val="clear" w:color="auto" w:fill="auto"/>
            <w:noWrap/>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eastAsia="es-NI"/>
              </w:rPr>
              <w:t>0.3</w:t>
            </w:r>
          </w:p>
        </w:tc>
        <w:tc>
          <w:tcPr>
            <w:tcW w:w="629" w:type="dxa"/>
            <w:tcBorders>
              <w:top w:val="nil"/>
              <w:left w:val="nil"/>
              <w:bottom w:val="single" w:sz="8" w:space="0" w:color="5B9BD5"/>
              <w:right w:val="single" w:sz="8" w:space="0" w:color="5B9BD5"/>
            </w:tcBorders>
            <w:shd w:val="clear" w:color="auto" w:fill="auto"/>
            <w:noWrap/>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val="es-NI" w:eastAsia="es-NI"/>
              </w:rPr>
              <w:t>6.6</w:t>
            </w:r>
          </w:p>
        </w:tc>
        <w:tc>
          <w:tcPr>
            <w:tcW w:w="1227" w:type="dxa"/>
            <w:tcBorders>
              <w:top w:val="nil"/>
              <w:left w:val="nil"/>
              <w:bottom w:val="single" w:sz="8" w:space="0" w:color="5B9BD5"/>
              <w:right w:val="single" w:sz="8" w:space="0" w:color="5B9BD5"/>
            </w:tcBorders>
            <w:shd w:val="clear" w:color="auto" w:fill="auto"/>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eastAsia="es-NI"/>
              </w:rPr>
              <w:t>1.1</w:t>
            </w:r>
          </w:p>
        </w:tc>
        <w:tc>
          <w:tcPr>
            <w:tcW w:w="629" w:type="dxa"/>
            <w:tcBorders>
              <w:top w:val="nil"/>
              <w:left w:val="nil"/>
              <w:bottom w:val="single" w:sz="8" w:space="0" w:color="5B9BD5"/>
              <w:right w:val="single" w:sz="8" w:space="0" w:color="5B9BD5"/>
            </w:tcBorders>
            <w:shd w:val="clear" w:color="auto" w:fill="auto"/>
            <w:noWrap/>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val="es-NI" w:eastAsia="es-NI"/>
              </w:rPr>
              <w:t>24.1</w:t>
            </w:r>
          </w:p>
        </w:tc>
        <w:tc>
          <w:tcPr>
            <w:tcW w:w="1207" w:type="dxa"/>
            <w:tcBorders>
              <w:top w:val="nil"/>
              <w:left w:val="nil"/>
              <w:bottom w:val="single" w:sz="8" w:space="0" w:color="5B9BD5"/>
              <w:right w:val="single" w:sz="8" w:space="0" w:color="auto"/>
            </w:tcBorders>
            <w:shd w:val="clear" w:color="auto" w:fill="auto"/>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val="es-NI" w:eastAsia="es-NI"/>
              </w:rPr>
              <w:t>1.2</w:t>
            </w:r>
          </w:p>
        </w:tc>
        <w:tc>
          <w:tcPr>
            <w:tcW w:w="960" w:type="dxa"/>
            <w:tcBorders>
              <w:top w:val="nil"/>
              <w:left w:val="nil"/>
              <w:bottom w:val="single" w:sz="8" w:space="0" w:color="5B9BD5"/>
              <w:right w:val="single" w:sz="8" w:space="0" w:color="5B9BD5"/>
            </w:tcBorders>
            <w:shd w:val="clear" w:color="auto" w:fill="auto"/>
            <w:noWrap/>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val="es-NI" w:eastAsia="es-NI"/>
              </w:rPr>
              <w:t>21.9</w:t>
            </w:r>
          </w:p>
        </w:tc>
      </w:tr>
      <w:tr w:rsidR="00FB4B60" w:rsidRPr="00FB4B60" w:rsidTr="00FB4B60">
        <w:trPr>
          <w:trHeight w:val="360"/>
        </w:trPr>
        <w:tc>
          <w:tcPr>
            <w:tcW w:w="1843" w:type="dxa"/>
            <w:tcBorders>
              <w:top w:val="nil"/>
              <w:left w:val="single" w:sz="8" w:space="0" w:color="5B9BD5"/>
              <w:bottom w:val="single" w:sz="8" w:space="0" w:color="5B9BD5"/>
              <w:right w:val="single" w:sz="8" w:space="0" w:color="5B9BD5"/>
            </w:tcBorders>
            <w:shd w:val="clear" w:color="auto" w:fill="auto"/>
            <w:noWrap/>
            <w:vAlign w:val="center"/>
            <w:hideMark/>
          </w:tcPr>
          <w:p w:rsidR="00FB4B60" w:rsidRPr="00FB4B60" w:rsidRDefault="00FB4B60" w:rsidP="00FB4B60">
            <w:pPr>
              <w:spacing w:before="0" w:beforeAutospacing="0" w:after="0" w:afterAutospacing="0" w:line="240" w:lineRule="auto"/>
              <w:jc w:val="left"/>
              <w:rPr>
                <w:rFonts w:eastAsia="Times New Roman" w:cs="Calibri"/>
                <w:color w:val="000000"/>
                <w:lang w:val="es-NI" w:eastAsia="es-NI"/>
              </w:rPr>
            </w:pPr>
            <w:r w:rsidRPr="00FB4B60">
              <w:rPr>
                <w:rFonts w:eastAsia="Times New Roman" w:cs="Calibri"/>
                <w:color w:val="000000"/>
                <w:lang w:val="es-NI" w:eastAsia="es-NI"/>
              </w:rPr>
              <w:lastRenderedPageBreak/>
              <w:t>Atención Ambulatoria (Organizaciones Sociales)</w:t>
            </w:r>
          </w:p>
        </w:tc>
        <w:tc>
          <w:tcPr>
            <w:tcW w:w="1418" w:type="dxa"/>
            <w:tcBorders>
              <w:top w:val="nil"/>
              <w:left w:val="nil"/>
              <w:bottom w:val="single" w:sz="8" w:space="0" w:color="5B9BD5"/>
              <w:right w:val="single" w:sz="8" w:space="0" w:color="5B9BD5"/>
            </w:tcBorders>
            <w:shd w:val="clear" w:color="auto" w:fill="auto"/>
            <w:noWrap/>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eastAsia="es-NI"/>
              </w:rPr>
              <w:t>0.4</w:t>
            </w:r>
          </w:p>
        </w:tc>
        <w:tc>
          <w:tcPr>
            <w:tcW w:w="668" w:type="dxa"/>
            <w:tcBorders>
              <w:top w:val="nil"/>
              <w:left w:val="nil"/>
              <w:bottom w:val="single" w:sz="8" w:space="0" w:color="5B9BD5"/>
              <w:right w:val="single" w:sz="8" w:space="0" w:color="5B9BD5"/>
            </w:tcBorders>
            <w:shd w:val="clear" w:color="auto" w:fill="auto"/>
            <w:noWrap/>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eastAsia="es-NI"/>
              </w:rPr>
              <w:t>10.7</w:t>
            </w:r>
          </w:p>
        </w:tc>
        <w:tc>
          <w:tcPr>
            <w:tcW w:w="1240" w:type="dxa"/>
            <w:tcBorders>
              <w:top w:val="nil"/>
              <w:left w:val="nil"/>
              <w:bottom w:val="single" w:sz="8" w:space="0" w:color="5B9BD5"/>
              <w:right w:val="single" w:sz="8" w:space="0" w:color="5B9BD5"/>
            </w:tcBorders>
            <w:shd w:val="clear" w:color="auto" w:fill="auto"/>
            <w:noWrap/>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eastAsia="es-NI"/>
              </w:rPr>
              <w:t>0.4</w:t>
            </w:r>
          </w:p>
        </w:tc>
        <w:tc>
          <w:tcPr>
            <w:tcW w:w="629" w:type="dxa"/>
            <w:tcBorders>
              <w:top w:val="nil"/>
              <w:left w:val="nil"/>
              <w:bottom w:val="single" w:sz="8" w:space="0" w:color="5B9BD5"/>
              <w:right w:val="single" w:sz="8" w:space="0" w:color="5B9BD5"/>
            </w:tcBorders>
            <w:shd w:val="clear" w:color="auto" w:fill="auto"/>
            <w:noWrap/>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val="es-NI" w:eastAsia="es-NI"/>
              </w:rPr>
              <w:t>9.7</w:t>
            </w:r>
          </w:p>
        </w:tc>
        <w:tc>
          <w:tcPr>
            <w:tcW w:w="1227" w:type="dxa"/>
            <w:tcBorders>
              <w:top w:val="nil"/>
              <w:left w:val="nil"/>
              <w:bottom w:val="single" w:sz="8" w:space="0" w:color="5B9BD5"/>
              <w:right w:val="single" w:sz="8" w:space="0" w:color="5B9BD5"/>
            </w:tcBorders>
            <w:shd w:val="clear" w:color="auto" w:fill="auto"/>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eastAsia="es-NI"/>
              </w:rPr>
              <w:t>0.4</w:t>
            </w:r>
          </w:p>
        </w:tc>
        <w:tc>
          <w:tcPr>
            <w:tcW w:w="629" w:type="dxa"/>
            <w:tcBorders>
              <w:top w:val="nil"/>
              <w:left w:val="nil"/>
              <w:bottom w:val="single" w:sz="8" w:space="0" w:color="5B9BD5"/>
              <w:right w:val="single" w:sz="8" w:space="0" w:color="5B9BD5"/>
            </w:tcBorders>
            <w:shd w:val="clear" w:color="auto" w:fill="auto"/>
            <w:noWrap/>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val="es-NI" w:eastAsia="es-NI"/>
              </w:rPr>
              <w:t>9.2</w:t>
            </w:r>
          </w:p>
        </w:tc>
        <w:tc>
          <w:tcPr>
            <w:tcW w:w="1207" w:type="dxa"/>
            <w:tcBorders>
              <w:top w:val="nil"/>
              <w:left w:val="nil"/>
              <w:bottom w:val="single" w:sz="8" w:space="0" w:color="5B9BD5"/>
              <w:right w:val="single" w:sz="8" w:space="0" w:color="auto"/>
            </w:tcBorders>
            <w:shd w:val="clear" w:color="auto" w:fill="auto"/>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val="es-NI" w:eastAsia="es-NI"/>
              </w:rPr>
              <w:t>0.6</w:t>
            </w:r>
          </w:p>
        </w:tc>
        <w:tc>
          <w:tcPr>
            <w:tcW w:w="960" w:type="dxa"/>
            <w:tcBorders>
              <w:top w:val="nil"/>
              <w:left w:val="nil"/>
              <w:bottom w:val="single" w:sz="8" w:space="0" w:color="5B9BD5"/>
              <w:right w:val="single" w:sz="8" w:space="0" w:color="5B9BD5"/>
            </w:tcBorders>
            <w:shd w:val="clear" w:color="auto" w:fill="auto"/>
            <w:noWrap/>
            <w:vAlign w:val="center"/>
            <w:hideMark/>
          </w:tcPr>
          <w:p w:rsidR="00FB4B60" w:rsidRPr="00FB4B60" w:rsidRDefault="00FB4B60" w:rsidP="0070314F">
            <w:pPr>
              <w:spacing w:before="0" w:beforeAutospacing="0" w:after="0" w:afterAutospacing="0" w:line="240" w:lineRule="auto"/>
              <w:jc w:val="center"/>
              <w:rPr>
                <w:rFonts w:ascii="Calibri" w:eastAsia="Times New Roman" w:hAnsi="Calibri" w:cs="Calibri"/>
                <w:color w:val="000000"/>
                <w:lang w:val="es-NI" w:eastAsia="es-NI"/>
              </w:rPr>
            </w:pPr>
            <w:r w:rsidRPr="00FB4B60">
              <w:rPr>
                <w:rFonts w:ascii="Calibri" w:eastAsia="Times New Roman" w:hAnsi="Calibri" w:cs="Calibri"/>
                <w:color w:val="000000"/>
                <w:lang w:val="es-NI" w:eastAsia="es-NI"/>
              </w:rPr>
              <w:t>11.2</w:t>
            </w:r>
          </w:p>
        </w:tc>
      </w:tr>
      <w:tr w:rsidR="00FB4B60" w:rsidRPr="00FB4B60" w:rsidTr="00FB4B60">
        <w:trPr>
          <w:trHeight w:val="360"/>
        </w:trPr>
        <w:tc>
          <w:tcPr>
            <w:tcW w:w="1843" w:type="dxa"/>
            <w:tcBorders>
              <w:top w:val="nil"/>
              <w:left w:val="single" w:sz="8" w:space="0" w:color="5B9BD5"/>
              <w:bottom w:val="single" w:sz="8" w:space="0" w:color="5B9BD5"/>
              <w:right w:val="single" w:sz="8" w:space="0" w:color="5B9BD5"/>
            </w:tcBorders>
            <w:shd w:val="clear" w:color="auto" w:fill="auto"/>
            <w:noWrap/>
            <w:vAlign w:val="center"/>
            <w:hideMark/>
          </w:tcPr>
          <w:p w:rsidR="00FB4B60" w:rsidRPr="00FB4B60" w:rsidRDefault="00FB4B60" w:rsidP="00FB4B60">
            <w:pPr>
              <w:spacing w:before="0" w:beforeAutospacing="0" w:after="0" w:afterAutospacing="0" w:line="240" w:lineRule="auto"/>
              <w:jc w:val="left"/>
              <w:rPr>
                <w:rFonts w:eastAsia="Times New Roman" w:cs="Calibri"/>
                <w:b/>
                <w:bCs/>
                <w:color w:val="000000"/>
                <w:lang w:val="es-NI" w:eastAsia="es-NI"/>
              </w:rPr>
            </w:pPr>
            <w:r w:rsidRPr="00FB4B60">
              <w:rPr>
                <w:rFonts w:eastAsia="Times New Roman" w:cs="Calibri"/>
                <w:b/>
                <w:bCs/>
                <w:color w:val="000000"/>
                <w:lang w:val="es-NI" w:eastAsia="es-NI"/>
              </w:rPr>
              <w:t>Total</w:t>
            </w:r>
          </w:p>
        </w:tc>
        <w:tc>
          <w:tcPr>
            <w:tcW w:w="1418" w:type="dxa"/>
            <w:tcBorders>
              <w:top w:val="nil"/>
              <w:left w:val="nil"/>
              <w:bottom w:val="single" w:sz="8" w:space="0" w:color="5B9BD5"/>
              <w:right w:val="single" w:sz="8" w:space="0" w:color="5B9BD5"/>
            </w:tcBorders>
            <w:shd w:val="clear" w:color="auto" w:fill="auto"/>
            <w:noWrap/>
            <w:vAlign w:val="center"/>
            <w:hideMark/>
          </w:tcPr>
          <w:p w:rsidR="00FB4B60" w:rsidRPr="00FB4B60" w:rsidRDefault="00FB4B60" w:rsidP="0070314F">
            <w:pPr>
              <w:spacing w:before="0" w:beforeAutospacing="0" w:after="0" w:afterAutospacing="0" w:line="240" w:lineRule="auto"/>
              <w:jc w:val="center"/>
              <w:rPr>
                <w:rFonts w:eastAsia="Times New Roman" w:cs="Calibri"/>
                <w:color w:val="000000"/>
                <w:lang w:val="es-NI" w:eastAsia="es-NI"/>
              </w:rPr>
            </w:pPr>
            <w:r w:rsidRPr="00FB4B60">
              <w:rPr>
                <w:rFonts w:eastAsia="Times New Roman" w:cs="Calibri"/>
                <w:color w:val="000000"/>
                <w:lang w:val="es-NI" w:eastAsia="es-NI"/>
              </w:rPr>
              <w:t>3.5</w:t>
            </w:r>
          </w:p>
        </w:tc>
        <w:tc>
          <w:tcPr>
            <w:tcW w:w="668" w:type="dxa"/>
            <w:tcBorders>
              <w:top w:val="nil"/>
              <w:left w:val="nil"/>
              <w:bottom w:val="single" w:sz="8" w:space="0" w:color="5B9BD5"/>
              <w:right w:val="single" w:sz="8" w:space="0" w:color="5B9BD5"/>
            </w:tcBorders>
            <w:shd w:val="clear" w:color="auto" w:fill="auto"/>
            <w:noWrap/>
            <w:vAlign w:val="center"/>
            <w:hideMark/>
          </w:tcPr>
          <w:p w:rsidR="00FB4B60" w:rsidRPr="00FB4B60" w:rsidRDefault="00FB4B60" w:rsidP="0070314F">
            <w:pPr>
              <w:spacing w:before="0" w:beforeAutospacing="0" w:after="0" w:afterAutospacing="0" w:line="240" w:lineRule="auto"/>
              <w:jc w:val="center"/>
              <w:rPr>
                <w:rFonts w:eastAsia="Times New Roman" w:cs="Calibri"/>
                <w:color w:val="000000"/>
                <w:lang w:val="es-NI" w:eastAsia="es-NI"/>
              </w:rPr>
            </w:pPr>
            <w:r w:rsidRPr="00FB4B60">
              <w:rPr>
                <w:rFonts w:eastAsia="Times New Roman" w:cs="Calibri"/>
                <w:color w:val="000000"/>
                <w:lang w:val="es-NI" w:eastAsia="es-NI"/>
              </w:rPr>
              <w:t>100.0</w:t>
            </w:r>
          </w:p>
        </w:tc>
        <w:tc>
          <w:tcPr>
            <w:tcW w:w="1240" w:type="dxa"/>
            <w:tcBorders>
              <w:top w:val="nil"/>
              <w:left w:val="nil"/>
              <w:bottom w:val="single" w:sz="8" w:space="0" w:color="5B9BD5"/>
              <w:right w:val="single" w:sz="8" w:space="0" w:color="5B9BD5"/>
            </w:tcBorders>
            <w:shd w:val="clear" w:color="auto" w:fill="auto"/>
            <w:noWrap/>
            <w:vAlign w:val="center"/>
            <w:hideMark/>
          </w:tcPr>
          <w:p w:rsidR="00FB4B60" w:rsidRPr="00FB4B60" w:rsidRDefault="00FB4B60" w:rsidP="0070314F">
            <w:pPr>
              <w:spacing w:before="0" w:beforeAutospacing="0" w:after="0" w:afterAutospacing="0" w:line="240" w:lineRule="auto"/>
              <w:jc w:val="center"/>
              <w:rPr>
                <w:rFonts w:eastAsia="Times New Roman" w:cs="Calibri"/>
                <w:color w:val="000000"/>
                <w:lang w:val="es-NI" w:eastAsia="es-NI"/>
              </w:rPr>
            </w:pPr>
            <w:r w:rsidRPr="00FB4B60">
              <w:rPr>
                <w:rFonts w:eastAsia="Times New Roman" w:cs="Calibri"/>
                <w:color w:val="000000"/>
                <w:lang w:val="es-NI" w:eastAsia="es-NI"/>
              </w:rPr>
              <w:t>4.4</w:t>
            </w:r>
          </w:p>
        </w:tc>
        <w:tc>
          <w:tcPr>
            <w:tcW w:w="629" w:type="dxa"/>
            <w:tcBorders>
              <w:top w:val="nil"/>
              <w:left w:val="nil"/>
              <w:bottom w:val="single" w:sz="8" w:space="0" w:color="5B9BD5"/>
              <w:right w:val="single" w:sz="8" w:space="0" w:color="5B9BD5"/>
            </w:tcBorders>
            <w:shd w:val="clear" w:color="auto" w:fill="auto"/>
            <w:noWrap/>
            <w:vAlign w:val="center"/>
            <w:hideMark/>
          </w:tcPr>
          <w:p w:rsidR="00FB4B60" w:rsidRPr="00FB4B60" w:rsidRDefault="00FB4B60" w:rsidP="0070314F">
            <w:pPr>
              <w:spacing w:before="0" w:beforeAutospacing="0" w:after="0" w:afterAutospacing="0" w:line="240" w:lineRule="auto"/>
              <w:jc w:val="center"/>
              <w:rPr>
                <w:rFonts w:eastAsia="Times New Roman" w:cs="Calibri"/>
                <w:color w:val="000000"/>
                <w:lang w:val="es-NI" w:eastAsia="es-NI"/>
              </w:rPr>
            </w:pPr>
            <w:r w:rsidRPr="00FB4B60">
              <w:rPr>
                <w:rFonts w:eastAsia="Times New Roman" w:cs="Calibri"/>
                <w:color w:val="000000"/>
                <w:lang w:val="es-NI" w:eastAsia="es-NI"/>
              </w:rPr>
              <w:t>100.0</w:t>
            </w:r>
          </w:p>
        </w:tc>
        <w:tc>
          <w:tcPr>
            <w:tcW w:w="1227" w:type="dxa"/>
            <w:tcBorders>
              <w:top w:val="nil"/>
              <w:left w:val="nil"/>
              <w:bottom w:val="single" w:sz="8" w:space="0" w:color="5B9BD5"/>
              <w:right w:val="single" w:sz="8" w:space="0" w:color="5B9BD5"/>
            </w:tcBorders>
            <w:shd w:val="clear" w:color="auto" w:fill="auto"/>
            <w:vAlign w:val="center"/>
            <w:hideMark/>
          </w:tcPr>
          <w:p w:rsidR="00FB4B60" w:rsidRPr="00FB4B60" w:rsidRDefault="00FB4B60" w:rsidP="0070314F">
            <w:pPr>
              <w:spacing w:before="0" w:beforeAutospacing="0" w:after="0" w:afterAutospacing="0" w:line="240" w:lineRule="auto"/>
              <w:jc w:val="center"/>
              <w:rPr>
                <w:rFonts w:eastAsia="Times New Roman" w:cs="Calibri"/>
                <w:color w:val="000000"/>
                <w:lang w:val="es-NI" w:eastAsia="es-NI"/>
              </w:rPr>
            </w:pPr>
            <w:r w:rsidRPr="00FB4B60">
              <w:rPr>
                <w:rFonts w:eastAsia="Times New Roman" w:cs="Calibri"/>
                <w:color w:val="000000"/>
                <w:lang w:val="es-NI" w:eastAsia="es-NI"/>
              </w:rPr>
              <w:t>4.6</w:t>
            </w:r>
          </w:p>
        </w:tc>
        <w:tc>
          <w:tcPr>
            <w:tcW w:w="629" w:type="dxa"/>
            <w:tcBorders>
              <w:top w:val="nil"/>
              <w:left w:val="nil"/>
              <w:bottom w:val="single" w:sz="8" w:space="0" w:color="5B9BD5"/>
              <w:right w:val="single" w:sz="8" w:space="0" w:color="5B9BD5"/>
            </w:tcBorders>
            <w:shd w:val="clear" w:color="auto" w:fill="auto"/>
            <w:vAlign w:val="center"/>
            <w:hideMark/>
          </w:tcPr>
          <w:p w:rsidR="00FB4B60" w:rsidRPr="00FB4B60" w:rsidRDefault="00FB4B60" w:rsidP="0070314F">
            <w:pPr>
              <w:spacing w:before="0" w:beforeAutospacing="0" w:after="0" w:afterAutospacing="0" w:line="240" w:lineRule="auto"/>
              <w:jc w:val="center"/>
              <w:rPr>
                <w:rFonts w:eastAsia="Times New Roman" w:cs="Calibri"/>
                <w:color w:val="000000"/>
                <w:lang w:val="es-NI" w:eastAsia="es-NI"/>
              </w:rPr>
            </w:pPr>
            <w:r w:rsidRPr="00FB4B60">
              <w:rPr>
                <w:rFonts w:eastAsia="Times New Roman" w:cs="Calibri"/>
                <w:color w:val="000000"/>
                <w:lang w:val="es-NI" w:eastAsia="es-NI"/>
              </w:rPr>
              <w:t>100.0</w:t>
            </w:r>
          </w:p>
        </w:tc>
        <w:tc>
          <w:tcPr>
            <w:tcW w:w="1207" w:type="dxa"/>
            <w:tcBorders>
              <w:top w:val="nil"/>
              <w:left w:val="nil"/>
              <w:bottom w:val="single" w:sz="8" w:space="0" w:color="5B9BD5"/>
              <w:right w:val="single" w:sz="8" w:space="0" w:color="5B9BD5"/>
            </w:tcBorders>
            <w:shd w:val="clear" w:color="auto" w:fill="auto"/>
            <w:vAlign w:val="center"/>
            <w:hideMark/>
          </w:tcPr>
          <w:p w:rsidR="00FB4B60" w:rsidRPr="00FB4B60" w:rsidRDefault="00FB4B60" w:rsidP="0070314F">
            <w:pPr>
              <w:spacing w:before="0" w:beforeAutospacing="0" w:after="0" w:afterAutospacing="0" w:line="240" w:lineRule="auto"/>
              <w:jc w:val="center"/>
              <w:rPr>
                <w:rFonts w:eastAsia="Times New Roman" w:cs="Calibri"/>
                <w:color w:val="000000"/>
                <w:lang w:val="es-NI" w:eastAsia="es-NI"/>
              </w:rPr>
            </w:pPr>
            <w:r w:rsidRPr="00FB4B60">
              <w:rPr>
                <w:rFonts w:eastAsia="Times New Roman" w:cs="Calibri"/>
                <w:color w:val="000000"/>
                <w:lang w:val="es-NI" w:eastAsia="es-NI"/>
              </w:rPr>
              <w:t>5.4</w:t>
            </w:r>
          </w:p>
        </w:tc>
        <w:tc>
          <w:tcPr>
            <w:tcW w:w="960" w:type="dxa"/>
            <w:tcBorders>
              <w:top w:val="nil"/>
              <w:left w:val="nil"/>
              <w:bottom w:val="single" w:sz="8" w:space="0" w:color="5B9BD5"/>
              <w:right w:val="single" w:sz="8" w:space="0" w:color="5B9BD5"/>
            </w:tcBorders>
            <w:shd w:val="clear" w:color="auto" w:fill="auto"/>
            <w:vAlign w:val="center"/>
            <w:hideMark/>
          </w:tcPr>
          <w:p w:rsidR="00FB4B60" w:rsidRPr="00FB4B60" w:rsidRDefault="00FB4B60" w:rsidP="0070314F">
            <w:pPr>
              <w:spacing w:before="0" w:beforeAutospacing="0" w:after="0" w:afterAutospacing="0" w:line="240" w:lineRule="auto"/>
              <w:jc w:val="center"/>
              <w:rPr>
                <w:rFonts w:eastAsia="Times New Roman" w:cs="Calibri"/>
                <w:color w:val="000000"/>
                <w:lang w:val="es-NI" w:eastAsia="es-NI"/>
              </w:rPr>
            </w:pPr>
            <w:r w:rsidRPr="00FB4B60">
              <w:rPr>
                <w:rFonts w:eastAsia="Times New Roman" w:cs="Calibri"/>
                <w:color w:val="000000"/>
                <w:lang w:val="es-NI" w:eastAsia="es-NI"/>
              </w:rPr>
              <w:t>100.0</w:t>
            </w:r>
          </w:p>
        </w:tc>
      </w:tr>
    </w:tbl>
    <w:p w:rsidR="00025D4F" w:rsidRPr="001C2738" w:rsidRDefault="009E333B" w:rsidP="00025D4F">
      <w:pPr>
        <w:spacing w:before="0" w:beforeAutospacing="0" w:after="160" w:afterAutospacing="0" w:line="259" w:lineRule="auto"/>
        <w:jc w:val="left"/>
        <w:rPr>
          <w:sz w:val="16"/>
          <w:szCs w:val="16"/>
          <w:lang w:val="es-HN"/>
        </w:rPr>
      </w:pPr>
      <w:r w:rsidRPr="001C2738">
        <w:rPr>
          <w:sz w:val="16"/>
          <w:szCs w:val="16"/>
          <w:lang w:val="es-HN"/>
        </w:rPr>
        <w:t>Fuente: Base de datos consolidado de transacciones Medición del Gasto en</w:t>
      </w:r>
      <w:r w:rsidR="00C213D8" w:rsidRPr="001C2738">
        <w:rPr>
          <w:sz w:val="16"/>
          <w:szCs w:val="16"/>
          <w:lang w:val="es-HN"/>
        </w:rPr>
        <w:t xml:space="preserve"> Tuberculosis 2014-2016</w:t>
      </w:r>
    </w:p>
    <w:p w:rsidR="006174EE" w:rsidRDefault="00BF4CE9" w:rsidP="00A8116F">
      <w:pPr>
        <w:rPr>
          <w:lang w:val="es-NI"/>
        </w:rPr>
      </w:pPr>
      <w:r>
        <w:rPr>
          <w:lang w:val="es-HN"/>
        </w:rPr>
        <w:t xml:space="preserve">Los proveedores de servicios </w:t>
      </w:r>
      <w:r>
        <w:rPr>
          <w:lang w:val="es-NI"/>
        </w:rPr>
        <w:t>son e</w:t>
      </w:r>
      <w:r w:rsidRPr="003B0A5A">
        <w:rPr>
          <w:lang w:val="es-NI"/>
        </w:rPr>
        <w:t xml:space="preserve">ntidades que participan directamente en la producción o entrega de bienes y </w:t>
      </w:r>
      <w:r>
        <w:rPr>
          <w:lang w:val="es-NI"/>
        </w:rPr>
        <w:t xml:space="preserve">servicios </w:t>
      </w:r>
      <w:r w:rsidR="002075E9">
        <w:rPr>
          <w:lang w:val="es-NI"/>
        </w:rPr>
        <w:t xml:space="preserve">para la TB. </w:t>
      </w:r>
      <w:r w:rsidR="00FB4B60">
        <w:rPr>
          <w:lang w:val="es-NI"/>
        </w:rPr>
        <w:t>Entre el 2014 y</w:t>
      </w:r>
      <w:r w:rsidR="00CD4F5F">
        <w:rPr>
          <w:lang w:val="es-NI"/>
        </w:rPr>
        <w:t xml:space="preserve"> </w:t>
      </w:r>
      <w:r w:rsidR="00FB4B60">
        <w:rPr>
          <w:lang w:val="es-NI"/>
        </w:rPr>
        <w:t xml:space="preserve">2017 </w:t>
      </w:r>
      <w:r>
        <w:rPr>
          <w:lang w:val="es-NI"/>
        </w:rPr>
        <w:t>el gasto fue ejecutado por prestadores públicos,  constituidos por</w:t>
      </w:r>
      <w:r w:rsidR="0077123C">
        <w:rPr>
          <w:lang w:val="es-NI"/>
        </w:rPr>
        <w:t xml:space="preserve"> toda la red</w:t>
      </w:r>
      <w:r w:rsidR="00CD4F5F">
        <w:rPr>
          <w:lang w:val="es-NI"/>
        </w:rPr>
        <w:t xml:space="preserve"> de</w:t>
      </w:r>
      <w:r>
        <w:rPr>
          <w:lang w:val="es-NI"/>
        </w:rPr>
        <w:t xml:space="preserve"> c</w:t>
      </w:r>
      <w:r w:rsidR="00A8116F">
        <w:rPr>
          <w:lang w:val="es-NI"/>
        </w:rPr>
        <w:t xml:space="preserve">entros de salud, </w:t>
      </w:r>
      <w:r>
        <w:rPr>
          <w:lang w:val="es-NI"/>
        </w:rPr>
        <w:t xml:space="preserve">hospitales </w:t>
      </w:r>
      <w:r w:rsidR="00A8116F">
        <w:rPr>
          <w:lang w:val="es-NI"/>
        </w:rPr>
        <w:t>y SILAI</w:t>
      </w:r>
      <w:r w:rsidR="009065DC">
        <w:rPr>
          <w:lang w:val="es-NI"/>
        </w:rPr>
        <w:t>S de todo el país del MI</w:t>
      </w:r>
      <w:r w:rsidR="00A8116F">
        <w:rPr>
          <w:lang w:val="es-NI"/>
        </w:rPr>
        <w:t>NSA</w:t>
      </w:r>
      <w:r w:rsidR="00835B7E">
        <w:rPr>
          <w:lang w:val="es-NI"/>
        </w:rPr>
        <w:t xml:space="preserve"> y las </w:t>
      </w:r>
      <w:r w:rsidR="00A911BD">
        <w:rPr>
          <w:lang w:val="es-NI"/>
        </w:rPr>
        <w:t xml:space="preserve">Instituciones </w:t>
      </w:r>
      <w:r w:rsidR="00835B7E">
        <w:rPr>
          <w:lang w:val="es-NI"/>
        </w:rPr>
        <w:t xml:space="preserve"> Prestadoras de Servicios de Salud del INSS (Hospital Central Managua, Hospital Bolonia, Fraternidad de León y otros)  </w:t>
      </w:r>
      <w:r w:rsidR="00A8116F">
        <w:rPr>
          <w:lang w:val="es-NI"/>
        </w:rPr>
        <w:t xml:space="preserve">que </w:t>
      </w:r>
      <w:r w:rsidR="00835B7E">
        <w:rPr>
          <w:lang w:val="es-NI"/>
        </w:rPr>
        <w:t xml:space="preserve">brindan </w:t>
      </w:r>
      <w:r w:rsidR="00A8116F">
        <w:rPr>
          <w:lang w:val="es-NI"/>
        </w:rPr>
        <w:t xml:space="preserve">servicios de </w:t>
      </w:r>
      <w:r w:rsidR="0077123C">
        <w:rPr>
          <w:lang w:val="es-NI"/>
        </w:rPr>
        <w:t>búsqueda</w:t>
      </w:r>
      <w:r w:rsidR="00A8116F">
        <w:rPr>
          <w:lang w:val="es-NI"/>
        </w:rPr>
        <w:t xml:space="preserve"> de casos</w:t>
      </w:r>
      <w:r w:rsidR="0077123C">
        <w:rPr>
          <w:lang w:val="es-NI"/>
        </w:rPr>
        <w:t>, diagnóstico y tratamiento;</w:t>
      </w:r>
      <w:r>
        <w:rPr>
          <w:lang w:val="es-NI"/>
        </w:rPr>
        <w:t xml:space="preserve"> los Centros Penitenciarios del Ministerio de Gobernaci</w:t>
      </w:r>
      <w:r w:rsidR="00A932DF">
        <w:rPr>
          <w:lang w:val="es-NI"/>
        </w:rPr>
        <w:t>ón, el ICAD,</w:t>
      </w:r>
      <w:r>
        <w:rPr>
          <w:lang w:val="es-NI"/>
        </w:rPr>
        <w:t xml:space="preserve"> la Unidad Ejecutora</w:t>
      </w:r>
      <w:r w:rsidR="0077123C">
        <w:rPr>
          <w:lang w:val="es-NI"/>
        </w:rPr>
        <w:t xml:space="preserve"> de Proyectos</w:t>
      </w:r>
      <w:r>
        <w:rPr>
          <w:lang w:val="es-NI"/>
        </w:rPr>
        <w:t xml:space="preserve"> del INSS</w:t>
      </w:r>
      <w:r w:rsidR="0077123C">
        <w:rPr>
          <w:lang w:val="es-NI"/>
        </w:rPr>
        <w:t xml:space="preserve"> y</w:t>
      </w:r>
      <w:r>
        <w:rPr>
          <w:lang w:val="es-NI"/>
        </w:rPr>
        <w:t xml:space="preserve"> el Ministerio de Educación</w:t>
      </w:r>
      <w:r w:rsidR="00A8116F">
        <w:rPr>
          <w:lang w:val="es-NI"/>
        </w:rPr>
        <w:t xml:space="preserve">. </w:t>
      </w:r>
    </w:p>
    <w:p w:rsidR="00BF4CE9" w:rsidRDefault="00A8116F" w:rsidP="00A8116F">
      <w:pPr>
        <w:rPr>
          <w:lang w:val="es-HN"/>
        </w:rPr>
      </w:pPr>
      <w:r>
        <w:rPr>
          <w:lang w:val="es-NI"/>
        </w:rPr>
        <w:t>Mientras que los proveedores privados compuesto por las unid</w:t>
      </w:r>
      <w:r w:rsidR="00B03427">
        <w:rPr>
          <w:lang w:val="es-NI"/>
        </w:rPr>
        <w:t xml:space="preserve">ades de la fundación Damián en </w:t>
      </w:r>
      <w:r>
        <w:rPr>
          <w:lang w:val="es-NI"/>
        </w:rPr>
        <w:t>municipios del país</w:t>
      </w:r>
      <w:r w:rsidR="0077123C">
        <w:rPr>
          <w:lang w:val="es-NI"/>
        </w:rPr>
        <w:t xml:space="preserve"> para las actividades de a</w:t>
      </w:r>
      <w:r w:rsidR="00B03427">
        <w:rPr>
          <w:lang w:val="es-NI"/>
        </w:rPr>
        <w:t xml:space="preserve">poyo a pacientes en tratamiento, Acción Medica Cristiana con actividades de fortalecimiento Comunitarios </w:t>
      </w:r>
      <w:r w:rsidR="0077123C">
        <w:rPr>
          <w:lang w:val="es-NI"/>
        </w:rPr>
        <w:t xml:space="preserve">y los gastos de </w:t>
      </w:r>
      <w:r w:rsidR="00A27E81">
        <w:rPr>
          <w:lang w:val="es-NI"/>
        </w:rPr>
        <w:t xml:space="preserve">bolsillo </w:t>
      </w:r>
      <w:r w:rsidR="00E8453A">
        <w:rPr>
          <w:lang w:val="es-NI"/>
        </w:rPr>
        <w:t>de los pacientes</w:t>
      </w:r>
      <w:r w:rsidR="00A27E81">
        <w:rPr>
          <w:lang w:val="es-NI"/>
        </w:rPr>
        <w:t xml:space="preserve"> </w:t>
      </w:r>
      <w:r w:rsidR="0036265F">
        <w:rPr>
          <w:lang w:val="es-NI"/>
        </w:rPr>
        <w:t>TB, ejecutaron</w:t>
      </w:r>
      <w:r w:rsidR="00CD4F5F">
        <w:rPr>
          <w:lang w:val="es-NI"/>
        </w:rPr>
        <w:t xml:space="preserve"> el</w:t>
      </w:r>
      <w:r w:rsidR="00803F88">
        <w:rPr>
          <w:lang w:val="es-NI"/>
        </w:rPr>
        <w:t xml:space="preserve"> 11</w:t>
      </w:r>
      <w:r w:rsidR="00B03427">
        <w:rPr>
          <w:lang w:val="es-NI"/>
        </w:rPr>
        <w:t>%</w:t>
      </w:r>
      <w:r w:rsidR="00803F88">
        <w:rPr>
          <w:lang w:val="es-NI"/>
        </w:rPr>
        <w:t xml:space="preserve"> y 10% </w:t>
      </w:r>
      <w:r w:rsidR="0077123C">
        <w:rPr>
          <w:lang w:val="es-NI"/>
        </w:rPr>
        <w:t>respectivamente.</w:t>
      </w:r>
      <w:r w:rsidR="00CD4F5F">
        <w:rPr>
          <w:lang w:val="es-NI"/>
        </w:rPr>
        <w:t xml:space="preserve"> </w:t>
      </w:r>
      <w:r w:rsidR="000D70F7">
        <w:rPr>
          <w:lang w:val="es-NI"/>
        </w:rPr>
        <w:t>Gráfico 4 y 5</w:t>
      </w:r>
      <w:r w:rsidR="0077123C">
        <w:rPr>
          <w:lang w:val="es-NI"/>
        </w:rPr>
        <w:t>.</w:t>
      </w:r>
    </w:p>
    <w:p w:rsidR="00BF4CE9" w:rsidRDefault="00BF4CE9" w:rsidP="00BF4CE9">
      <w:pPr>
        <w:spacing w:before="0" w:beforeAutospacing="0" w:after="160" w:afterAutospacing="0" w:line="259" w:lineRule="auto"/>
        <w:jc w:val="left"/>
        <w:rPr>
          <w:lang w:val="es-HN"/>
        </w:rPr>
      </w:pPr>
    </w:p>
    <w:p w:rsidR="00D015D6" w:rsidRDefault="00D015D6" w:rsidP="00BF4CE9">
      <w:pPr>
        <w:spacing w:before="0" w:beforeAutospacing="0" w:after="160" w:afterAutospacing="0" w:line="259" w:lineRule="auto"/>
        <w:jc w:val="left"/>
        <w:rPr>
          <w:lang w:val="es-HN"/>
        </w:rPr>
      </w:pPr>
    </w:p>
    <w:p w:rsidR="00D015D6" w:rsidRDefault="00A911BD" w:rsidP="00BF4CE9">
      <w:pPr>
        <w:spacing w:before="0" w:beforeAutospacing="0" w:after="160" w:afterAutospacing="0" w:line="259" w:lineRule="auto"/>
        <w:jc w:val="left"/>
        <w:rPr>
          <w:lang w:val="es-HN"/>
        </w:rPr>
      </w:pPr>
      <w:r>
        <w:rPr>
          <w:noProof/>
          <w:lang w:val="es-NI" w:eastAsia="es-NI"/>
        </w:rPr>
        <w:lastRenderedPageBreak/>
        <w:drawing>
          <wp:anchor distT="0" distB="0" distL="114300" distR="114300" simplePos="0" relativeHeight="251668480" behindDoc="0" locked="0" layoutInCell="1" allowOverlap="1">
            <wp:simplePos x="0" y="0"/>
            <wp:positionH relativeFrom="margin">
              <wp:posOffset>3260725</wp:posOffset>
            </wp:positionH>
            <wp:positionV relativeFrom="margin">
              <wp:align>top</wp:align>
            </wp:positionV>
            <wp:extent cx="2336165" cy="1868170"/>
            <wp:effectExtent l="0" t="0" r="6985" b="17780"/>
            <wp:wrapSquare wrapText="bothSides"/>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noProof/>
          <w:lang w:val="es-NI" w:eastAsia="es-NI"/>
        </w:rPr>
        <w:drawing>
          <wp:inline distT="0" distB="0" distL="0" distR="0">
            <wp:extent cx="3053301" cy="1875790"/>
            <wp:effectExtent l="0" t="0" r="13970" b="1016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F4CE9" w:rsidRPr="001C2738" w:rsidRDefault="00BF4CE9" w:rsidP="00BF4CE9">
      <w:pPr>
        <w:spacing w:before="0" w:beforeAutospacing="0" w:after="160" w:afterAutospacing="0" w:line="259" w:lineRule="auto"/>
        <w:jc w:val="left"/>
        <w:rPr>
          <w:sz w:val="16"/>
          <w:szCs w:val="16"/>
          <w:lang w:val="es-HN"/>
        </w:rPr>
      </w:pPr>
      <w:r w:rsidRPr="001C2738">
        <w:rPr>
          <w:sz w:val="16"/>
          <w:szCs w:val="16"/>
          <w:lang w:val="es-HN"/>
        </w:rPr>
        <w:t>Fuente: Base de datos consolidado de transacciones Medición del</w:t>
      </w:r>
      <w:r w:rsidR="008A3178" w:rsidRPr="001C2738">
        <w:rPr>
          <w:sz w:val="16"/>
          <w:szCs w:val="16"/>
          <w:lang w:val="es-HN"/>
        </w:rPr>
        <w:t xml:space="preserve"> Gasto en Tuberculosis 2014-2017</w:t>
      </w:r>
    </w:p>
    <w:p w:rsidR="00CB4D16" w:rsidRDefault="00A27E81" w:rsidP="00C543E8">
      <w:pPr>
        <w:rPr>
          <w:lang w:val="es-HN"/>
        </w:rPr>
      </w:pPr>
      <w:r>
        <w:rPr>
          <w:lang w:val="es-HN"/>
        </w:rPr>
        <w:t xml:space="preserve">Por categoría de gastos la mayor inversión se presenta en la </w:t>
      </w:r>
      <w:r w:rsidR="00CB4D16">
        <w:rPr>
          <w:lang w:val="es-HN"/>
        </w:rPr>
        <w:t xml:space="preserve">Administración de Programas con </w:t>
      </w:r>
      <w:r w:rsidR="0036265F">
        <w:rPr>
          <w:lang w:val="es-HN"/>
        </w:rPr>
        <w:t>el 38.6</w:t>
      </w:r>
      <w:r w:rsidR="00CB4D16">
        <w:rPr>
          <w:lang w:val="es-HN"/>
        </w:rPr>
        <w:t xml:space="preserve">% en el </w:t>
      </w:r>
      <w:r w:rsidR="0036265F">
        <w:rPr>
          <w:lang w:val="es-HN"/>
        </w:rPr>
        <w:t>2016 y</w:t>
      </w:r>
      <w:r w:rsidR="00CB4D16">
        <w:rPr>
          <w:lang w:val="es-HN"/>
        </w:rPr>
        <w:t xml:space="preserve"> en el año 2017 el 35.2%</w:t>
      </w:r>
      <w:r w:rsidR="00E8453A">
        <w:rPr>
          <w:lang w:val="es-HN"/>
        </w:rPr>
        <w:t>, para</w:t>
      </w:r>
      <w:r w:rsidR="00CB4D16">
        <w:rPr>
          <w:lang w:val="es-HN"/>
        </w:rPr>
        <w:t xml:space="preserve"> el desarrollo de actividades dirigidas a </w:t>
      </w:r>
      <w:r w:rsidR="00050DAC">
        <w:rPr>
          <w:lang w:val="es-HN"/>
        </w:rPr>
        <w:t>la implementación de la estrategia nacional, tanto del MINSA a nivel na</w:t>
      </w:r>
      <w:r w:rsidR="00B92C7E">
        <w:rPr>
          <w:lang w:val="es-HN"/>
        </w:rPr>
        <w:t xml:space="preserve">cional, SILAIS y Municipios </w:t>
      </w:r>
      <w:r w:rsidR="0036265F">
        <w:rPr>
          <w:lang w:val="es-HN"/>
        </w:rPr>
        <w:t>y el</w:t>
      </w:r>
      <w:r w:rsidR="00B92C7E">
        <w:rPr>
          <w:lang w:val="es-HN"/>
        </w:rPr>
        <w:t xml:space="preserve"> </w:t>
      </w:r>
      <w:r w:rsidR="0036265F">
        <w:rPr>
          <w:lang w:val="es-HN"/>
        </w:rPr>
        <w:t>INSS con la</w:t>
      </w:r>
      <w:r w:rsidR="00050DAC">
        <w:rPr>
          <w:lang w:val="es-HN"/>
        </w:rPr>
        <w:t xml:space="preserve"> gestión del programa de TB dir</w:t>
      </w:r>
      <w:r w:rsidR="008A3178">
        <w:rPr>
          <w:lang w:val="es-HN"/>
        </w:rPr>
        <w:t>igido a la población asegurada.</w:t>
      </w:r>
    </w:p>
    <w:p w:rsidR="00CB4D16" w:rsidRDefault="008A3178" w:rsidP="00C543E8">
      <w:pPr>
        <w:rPr>
          <w:lang w:val="es-HN"/>
        </w:rPr>
      </w:pPr>
      <w:r>
        <w:rPr>
          <w:lang w:val="es-HN"/>
        </w:rPr>
        <w:t xml:space="preserve">En orden de importancia le sigue la Atención y Prevención de personas con TB con un incremento </w:t>
      </w:r>
      <w:r w:rsidR="004A1D6E">
        <w:rPr>
          <w:lang w:val="es-HN"/>
        </w:rPr>
        <w:t>del 6</w:t>
      </w:r>
      <w:r w:rsidR="0036265F">
        <w:rPr>
          <w:lang w:val="es-HN"/>
        </w:rPr>
        <w:t>% entre</w:t>
      </w:r>
      <w:r w:rsidR="004A1D6E">
        <w:rPr>
          <w:lang w:val="es-HN"/>
        </w:rPr>
        <w:t xml:space="preserve"> el 2016 y 2017</w:t>
      </w:r>
      <w:r w:rsidR="00957655">
        <w:t xml:space="preserve">. </w:t>
      </w:r>
      <w:r w:rsidR="00B36A5F">
        <w:rPr>
          <w:lang w:val="es-HN"/>
        </w:rPr>
        <w:t xml:space="preserve">La prestación de servicios en el 2017 representa el 11.4% manteniéndose </w:t>
      </w:r>
      <w:r w:rsidR="0036265F">
        <w:rPr>
          <w:lang w:val="es-HN"/>
        </w:rPr>
        <w:t>en la</w:t>
      </w:r>
      <w:r w:rsidR="00B36A5F">
        <w:rPr>
          <w:lang w:val="es-HN"/>
        </w:rPr>
        <w:t xml:space="preserve"> misma proporción en relación al año 2016. La organización y gestión de </w:t>
      </w:r>
      <w:r w:rsidR="0036265F">
        <w:rPr>
          <w:lang w:val="es-HN"/>
        </w:rPr>
        <w:t>instalaciones constituida</w:t>
      </w:r>
      <w:r w:rsidR="00CB4D16">
        <w:rPr>
          <w:lang w:val="es-NI" w:eastAsia="es-NI"/>
        </w:rPr>
        <w:t xml:space="preserve"> por gastos para el fortalecimiento de los laborat</w:t>
      </w:r>
      <w:r w:rsidR="00B92C7E">
        <w:rPr>
          <w:lang w:val="es-NI" w:eastAsia="es-NI"/>
        </w:rPr>
        <w:t xml:space="preserve">orios en </w:t>
      </w:r>
      <w:r w:rsidR="0036265F">
        <w:rPr>
          <w:lang w:val="es-NI" w:eastAsia="es-NI"/>
        </w:rPr>
        <w:t>toda la red</w:t>
      </w:r>
      <w:r w:rsidR="00B92C7E">
        <w:rPr>
          <w:lang w:val="es-NI" w:eastAsia="es-NI"/>
        </w:rPr>
        <w:t xml:space="preserve"> del </w:t>
      </w:r>
      <w:r w:rsidR="0036265F">
        <w:rPr>
          <w:lang w:val="es-NI" w:eastAsia="es-NI"/>
        </w:rPr>
        <w:t>país en los</w:t>
      </w:r>
      <w:r w:rsidR="00CB4D16">
        <w:rPr>
          <w:lang w:val="es-NI" w:eastAsia="es-NI"/>
        </w:rPr>
        <w:t xml:space="preserve"> </w:t>
      </w:r>
      <w:r w:rsidR="0036265F">
        <w:rPr>
          <w:lang w:val="es-NI" w:eastAsia="es-NI"/>
        </w:rPr>
        <w:t>centros salud</w:t>
      </w:r>
      <w:r w:rsidR="00CB4D16">
        <w:rPr>
          <w:lang w:val="es-NI" w:eastAsia="es-NI"/>
        </w:rPr>
        <w:t xml:space="preserve"> y hospitales que prestan s</w:t>
      </w:r>
      <w:r w:rsidR="00B92C7E">
        <w:rPr>
          <w:lang w:val="es-NI" w:eastAsia="es-NI"/>
        </w:rPr>
        <w:t>ervicios a las personas TB.</w:t>
      </w:r>
    </w:p>
    <w:p w:rsidR="00D726FD" w:rsidRDefault="00B36A5F" w:rsidP="0015716B">
      <w:pPr>
        <w:tabs>
          <w:tab w:val="left" w:pos="6223"/>
        </w:tabs>
        <w:rPr>
          <w:lang w:val="es-NI" w:eastAsia="es-NI"/>
        </w:rPr>
      </w:pPr>
      <w:r>
        <w:rPr>
          <w:lang w:val="es-NI" w:eastAsia="es-NI"/>
        </w:rPr>
        <w:t xml:space="preserve">El apoyo a pacientes se mantiene en los dos años el 8%, esta categoría de gastos comprende las actividades dirigidas </w:t>
      </w:r>
      <w:r w:rsidR="0015716B">
        <w:rPr>
          <w:lang w:val="es-NI" w:eastAsia="es-NI"/>
        </w:rPr>
        <w:t>a dar soporte en alimentación, mejora de viviendas, incentivos y apoyo económico a los pacientes durante el tratam</w:t>
      </w:r>
      <w:r w:rsidR="00CD4F5F">
        <w:rPr>
          <w:lang w:val="es-NI" w:eastAsia="es-NI"/>
        </w:rPr>
        <w:t>iento. La categoría de Entornos</w:t>
      </w:r>
      <w:r w:rsidR="0015716B">
        <w:rPr>
          <w:lang w:val="es-NI" w:eastAsia="es-NI"/>
        </w:rPr>
        <w:t xml:space="preserve"> Favorables en el </w:t>
      </w:r>
      <w:r w:rsidR="0036265F">
        <w:rPr>
          <w:lang w:val="es-NI" w:eastAsia="es-NI"/>
        </w:rPr>
        <w:t>2017 se</w:t>
      </w:r>
      <w:r w:rsidR="0015716B">
        <w:rPr>
          <w:lang w:val="es-NI" w:eastAsia="es-NI"/>
        </w:rPr>
        <w:t xml:space="preserve"> incrementa en 2 puntos porcentuales representando el 7.6% mientras que en el 2016 era el 5.6%. La categoría de tratamiento </w:t>
      </w:r>
      <w:r w:rsidR="00D16845">
        <w:rPr>
          <w:lang w:val="es-NI" w:eastAsia="es-NI"/>
        </w:rPr>
        <w:t>de</w:t>
      </w:r>
      <w:r w:rsidR="0015716B">
        <w:rPr>
          <w:lang w:val="es-NI" w:eastAsia="es-NI"/>
        </w:rPr>
        <w:t xml:space="preserve"> primera y segunda línea se mantiene en los dos años entre el 2.2 y 2.4%. </w:t>
      </w:r>
      <w:r w:rsidR="00D16845">
        <w:rPr>
          <w:lang w:val="es-NI" w:eastAsia="es-NI"/>
        </w:rPr>
        <w:t xml:space="preserve"> La p</w:t>
      </w:r>
      <w:r w:rsidR="0015716B">
        <w:rPr>
          <w:lang w:val="es-NI" w:eastAsia="es-NI"/>
        </w:rPr>
        <w:t xml:space="preserve">resentación de informes rutinarios en el 2016 </w:t>
      </w:r>
      <w:r w:rsidR="0036265F">
        <w:rPr>
          <w:lang w:val="es-NI" w:eastAsia="es-NI"/>
        </w:rPr>
        <w:t>significó el</w:t>
      </w:r>
      <w:r w:rsidR="0015716B">
        <w:rPr>
          <w:lang w:val="es-NI" w:eastAsia="es-NI"/>
        </w:rPr>
        <w:t xml:space="preserve"> 0.02% en el 2017 paso al 1.32%. Las </w:t>
      </w:r>
      <w:r w:rsidR="0036265F">
        <w:rPr>
          <w:lang w:val="es-NI" w:eastAsia="es-NI"/>
        </w:rPr>
        <w:t>actividades colaborativas</w:t>
      </w:r>
      <w:r w:rsidR="003A4D22">
        <w:rPr>
          <w:lang w:val="es-NI" w:eastAsia="es-NI"/>
        </w:rPr>
        <w:t xml:space="preserve"> de TB/</w:t>
      </w:r>
      <w:r w:rsidR="0015716B">
        <w:rPr>
          <w:lang w:val="es-NI" w:eastAsia="es-NI"/>
        </w:rPr>
        <w:t xml:space="preserve">VIH </w:t>
      </w:r>
      <w:r w:rsidR="00D16845">
        <w:rPr>
          <w:lang w:val="es-NI" w:eastAsia="es-NI"/>
        </w:rPr>
        <w:t>en el 2016 representaba el 0.35% en el 2016 pasa a 0.42%.</w:t>
      </w:r>
      <w:r w:rsidR="008E1C78">
        <w:rPr>
          <w:lang w:val="es-NI" w:eastAsia="es-NI"/>
        </w:rPr>
        <w:t xml:space="preserve"> Gr</w:t>
      </w:r>
      <w:r w:rsidR="000D70F7">
        <w:rPr>
          <w:lang w:val="es-NI" w:eastAsia="es-NI"/>
        </w:rPr>
        <w:t xml:space="preserve">áfico </w:t>
      </w:r>
      <w:r w:rsidR="003833AB">
        <w:rPr>
          <w:lang w:val="es-NI" w:eastAsia="es-NI"/>
        </w:rPr>
        <w:t>6</w:t>
      </w:r>
      <w:r w:rsidR="00B92C7E">
        <w:rPr>
          <w:lang w:val="es-NI" w:eastAsia="es-NI"/>
        </w:rPr>
        <w:t>.</w:t>
      </w:r>
    </w:p>
    <w:p w:rsidR="009E333B" w:rsidRDefault="00CB4D16" w:rsidP="009C1749">
      <w:pPr>
        <w:spacing w:before="0" w:beforeAutospacing="0" w:after="0" w:afterAutospacing="0"/>
        <w:rPr>
          <w:lang w:val="es-HN"/>
        </w:rPr>
      </w:pPr>
      <w:r>
        <w:rPr>
          <w:noProof/>
          <w:lang w:val="es-NI" w:eastAsia="es-NI"/>
        </w:rPr>
        <w:lastRenderedPageBreak/>
        <w:drawing>
          <wp:inline distT="0" distB="0" distL="0" distR="0">
            <wp:extent cx="5612130" cy="3164205"/>
            <wp:effectExtent l="0" t="0" r="7620" b="17145"/>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E333B" w:rsidRPr="001C2738" w:rsidRDefault="009C1749" w:rsidP="009C1749">
      <w:pPr>
        <w:spacing w:before="0" w:beforeAutospacing="0" w:after="0" w:afterAutospacing="0" w:line="259" w:lineRule="auto"/>
        <w:jc w:val="left"/>
        <w:rPr>
          <w:sz w:val="16"/>
          <w:szCs w:val="16"/>
          <w:lang w:val="es-HN"/>
        </w:rPr>
      </w:pPr>
      <w:r w:rsidRPr="001C2738">
        <w:rPr>
          <w:sz w:val="16"/>
          <w:szCs w:val="16"/>
          <w:lang w:val="es-HN"/>
        </w:rPr>
        <w:t>Fuente: Base de datos consolidado de transacciones Medición del</w:t>
      </w:r>
      <w:r w:rsidR="002E5CA8" w:rsidRPr="001C2738">
        <w:rPr>
          <w:sz w:val="16"/>
          <w:szCs w:val="16"/>
          <w:lang w:val="es-HN"/>
        </w:rPr>
        <w:t xml:space="preserve"> Gasto en Tuberculosis 2014-2016</w:t>
      </w:r>
    </w:p>
    <w:p w:rsidR="004D04D6" w:rsidRPr="001C2738" w:rsidRDefault="004D04D6" w:rsidP="00025D4F">
      <w:pPr>
        <w:spacing w:before="0" w:beforeAutospacing="0" w:after="160" w:afterAutospacing="0" w:line="259" w:lineRule="auto"/>
        <w:jc w:val="left"/>
        <w:rPr>
          <w:sz w:val="16"/>
          <w:szCs w:val="16"/>
          <w:lang w:val="es-HN"/>
        </w:rPr>
      </w:pPr>
    </w:p>
    <w:p w:rsidR="00CA5923" w:rsidRPr="0070314F" w:rsidRDefault="009065DC" w:rsidP="0070314F">
      <w:pPr>
        <w:rPr>
          <w:lang w:val="es-HN"/>
        </w:rPr>
      </w:pPr>
      <w:r>
        <w:rPr>
          <w:lang w:val="es-NI"/>
        </w:rPr>
        <w:t xml:space="preserve">El gasto </w:t>
      </w:r>
      <w:r w:rsidR="00293FF7">
        <w:rPr>
          <w:lang w:val="es-NI"/>
        </w:rPr>
        <w:t xml:space="preserve">por </w:t>
      </w:r>
      <w:r w:rsidR="00B92C7E">
        <w:rPr>
          <w:lang w:val="es-NI"/>
        </w:rPr>
        <w:t>segmentos B</w:t>
      </w:r>
      <w:r w:rsidRPr="002C026A">
        <w:rPr>
          <w:lang w:val="es-NI"/>
        </w:rPr>
        <w:t>eneficiarios de la población o Población</w:t>
      </w:r>
      <w:r w:rsidR="00B92C7E">
        <w:rPr>
          <w:lang w:val="es-NI"/>
        </w:rPr>
        <w:t xml:space="preserve"> </w:t>
      </w:r>
      <w:r w:rsidR="0079381B">
        <w:rPr>
          <w:lang w:val="es-NI"/>
        </w:rPr>
        <w:t>Beneficiaria, en</w:t>
      </w:r>
      <w:r w:rsidR="00FC616E">
        <w:rPr>
          <w:lang w:val="es-NI"/>
        </w:rPr>
        <w:t xml:space="preserve"> el año 2017</w:t>
      </w:r>
      <w:r w:rsidR="0079381B">
        <w:rPr>
          <w:lang w:val="es-NI"/>
        </w:rPr>
        <w:t xml:space="preserve"> </w:t>
      </w:r>
      <w:r w:rsidR="00FF4BC0">
        <w:rPr>
          <w:lang w:val="es-NI"/>
        </w:rPr>
        <w:t xml:space="preserve">el </w:t>
      </w:r>
      <w:r w:rsidR="00CF4B6C">
        <w:rPr>
          <w:lang w:val="es-NI"/>
        </w:rPr>
        <w:t>27</w:t>
      </w:r>
      <w:r w:rsidR="00800325">
        <w:rPr>
          <w:lang w:val="es-NI"/>
        </w:rPr>
        <w:t>.7</w:t>
      </w:r>
      <w:r w:rsidR="002E4DEB">
        <w:rPr>
          <w:lang w:val="es-NI"/>
        </w:rPr>
        <w:t>% (US$</w:t>
      </w:r>
      <w:r w:rsidR="00CF4B6C">
        <w:rPr>
          <w:lang w:val="es-NI"/>
        </w:rPr>
        <w:t>1.</w:t>
      </w:r>
      <w:r w:rsidR="00800325">
        <w:rPr>
          <w:lang w:val="es-NI"/>
        </w:rPr>
        <w:t>5</w:t>
      </w:r>
      <w:r w:rsidR="002E4DEB">
        <w:rPr>
          <w:lang w:val="es-NI"/>
        </w:rPr>
        <w:t xml:space="preserve"> millones) </w:t>
      </w:r>
      <w:r w:rsidR="00315229">
        <w:rPr>
          <w:lang w:val="es-NI"/>
        </w:rPr>
        <w:t xml:space="preserve">se invirtió </w:t>
      </w:r>
      <w:r w:rsidR="002E4DEB">
        <w:rPr>
          <w:lang w:val="es-NI"/>
        </w:rPr>
        <w:t xml:space="preserve">en acciones dirigidas </w:t>
      </w:r>
      <w:r w:rsidR="00CF4B6C">
        <w:rPr>
          <w:lang w:val="es-NI"/>
        </w:rPr>
        <w:t>a personas TB</w:t>
      </w:r>
      <w:r w:rsidR="00800325">
        <w:rPr>
          <w:lang w:val="es-NI"/>
        </w:rPr>
        <w:t xml:space="preserve"> para la realización de acciones de </w:t>
      </w:r>
      <w:r w:rsidR="0079381B">
        <w:rPr>
          <w:lang w:val="es-NI"/>
        </w:rPr>
        <w:t>diagnóstico, tratamiento</w:t>
      </w:r>
      <w:r w:rsidR="00800325">
        <w:rPr>
          <w:lang w:val="es-NI"/>
        </w:rPr>
        <w:t xml:space="preserve"> y seguimiento. En </w:t>
      </w:r>
      <w:r w:rsidR="002E4DEB">
        <w:rPr>
          <w:lang w:val="es-NI"/>
        </w:rPr>
        <w:t xml:space="preserve">la identificación y examinar los SR+14 en </w:t>
      </w:r>
      <w:r w:rsidR="00CA5923">
        <w:rPr>
          <w:lang w:val="es-NI"/>
        </w:rPr>
        <w:t>población general</w:t>
      </w:r>
      <w:r w:rsidR="00315229">
        <w:rPr>
          <w:lang w:val="es-NI"/>
        </w:rPr>
        <w:t xml:space="preserve"> el </w:t>
      </w:r>
      <w:r w:rsidR="00800325">
        <w:rPr>
          <w:lang w:val="es-NI"/>
        </w:rPr>
        <w:t>26</w:t>
      </w:r>
      <w:r w:rsidR="00315229">
        <w:rPr>
          <w:lang w:val="es-NI"/>
        </w:rPr>
        <w:t>. %</w:t>
      </w:r>
      <w:r w:rsidR="002E4DEB">
        <w:rPr>
          <w:lang w:val="es-NI"/>
        </w:rPr>
        <w:t xml:space="preserve"> (US$</w:t>
      </w:r>
      <w:r w:rsidR="00800325">
        <w:rPr>
          <w:lang w:val="es-NI"/>
        </w:rPr>
        <w:t xml:space="preserve">1.5 </w:t>
      </w:r>
      <w:r w:rsidR="002E4DEB">
        <w:rPr>
          <w:lang w:val="es-NI"/>
        </w:rPr>
        <w:t>millones)</w:t>
      </w:r>
      <w:r w:rsidR="00800325">
        <w:rPr>
          <w:lang w:val="es-NI"/>
        </w:rPr>
        <w:t>;</w:t>
      </w:r>
      <w:r w:rsidR="002E4DEB">
        <w:rPr>
          <w:lang w:val="es-NI"/>
        </w:rPr>
        <w:t xml:space="preserve"> las intervenciones no dirigidas consumieron el </w:t>
      </w:r>
      <w:r w:rsidR="00C94BE9">
        <w:rPr>
          <w:lang w:val="es-NI"/>
        </w:rPr>
        <w:t>15</w:t>
      </w:r>
      <w:r w:rsidR="00315229">
        <w:rPr>
          <w:lang w:val="es-NI"/>
        </w:rPr>
        <w:t>%</w:t>
      </w:r>
      <w:r w:rsidR="002E4DEB">
        <w:rPr>
          <w:lang w:val="es-NI"/>
        </w:rPr>
        <w:t xml:space="preserve"> que comprende acciones de manejo</w:t>
      </w:r>
      <w:r w:rsidR="00800325">
        <w:rPr>
          <w:lang w:val="es-NI"/>
        </w:rPr>
        <w:t xml:space="preserve"> del Programa de TB</w:t>
      </w:r>
      <w:r w:rsidR="00C94BE9">
        <w:rPr>
          <w:lang w:val="es-NI"/>
        </w:rPr>
        <w:t xml:space="preserve"> del MINSA</w:t>
      </w:r>
      <w:r w:rsidR="00800325">
        <w:rPr>
          <w:lang w:val="es-NI"/>
        </w:rPr>
        <w:t>,</w:t>
      </w:r>
      <w:r w:rsidR="00C94BE9">
        <w:rPr>
          <w:lang w:val="es-NI"/>
        </w:rPr>
        <w:t xml:space="preserve"> Programa TB y Unidad de Proyectos del INSS, </w:t>
      </w:r>
      <w:r w:rsidR="00800325">
        <w:rPr>
          <w:lang w:val="es-NI"/>
        </w:rPr>
        <w:t>Manejo de S</w:t>
      </w:r>
      <w:r w:rsidR="002E4DEB">
        <w:rPr>
          <w:lang w:val="es-NI"/>
        </w:rPr>
        <w:t>ubvenciones entre otros. El detalle por población beneficiara se muestra en el gráfico</w:t>
      </w:r>
      <w:r w:rsidR="003833AB">
        <w:rPr>
          <w:lang w:val="es-NI"/>
        </w:rPr>
        <w:t xml:space="preserve"> 7.</w:t>
      </w:r>
      <w:r w:rsidR="00CA5923">
        <w:rPr>
          <w:noProof/>
          <w:lang w:val="es-NI" w:eastAsia="es-NI"/>
        </w:rPr>
        <w:br w:type="page"/>
      </w:r>
    </w:p>
    <w:p w:rsidR="00694C62" w:rsidRPr="001C2738" w:rsidRDefault="00CA5923" w:rsidP="001C2738">
      <w:pPr>
        <w:spacing w:before="0" w:beforeAutospacing="0" w:after="160" w:afterAutospacing="0" w:line="259" w:lineRule="auto"/>
        <w:jc w:val="left"/>
        <w:rPr>
          <w:lang w:val="es-HN"/>
        </w:rPr>
      </w:pPr>
      <w:r>
        <w:rPr>
          <w:noProof/>
          <w:lang w:val="es-NI" w:eastAsia="es-NI"/>
        </w:rPr>
        <w:lastRenderedPageBreak/>
        <w:drawing>
          <wp:inline distT="0" distB="0" distL="0" distR="0">
            <wp:extent cx="5612130" cy="3323646"/>
            <wp:effectExtent l="0" t="0" r="7620" b="1016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694C62" w:rsidRPr="001C2738">
        <w:rPr>
          <w:sz w:val="16"/>
          <w:szCs w:val="16"/>
          <w:lang w:val="es-HN"/>
        </w:rPr>
        <w:t>Fuente: Base de datos consolidado de transacciones Medición del</w:t>
      </w:r>
      <w:r w:rsidRPr="001C2738">
        <w:rPr>
          <w:sz w:val="16"/>
          <w:szCs w:val="16"/>
          <w:lang w:val="es-HN"/>
        </w:rPr>
        <w:t xml:space="preserve"> Gasto en Tuberculosis 2014-2017</w:t>
      </w:r>
    </w:p>
    <w:p w:rsidR="00025D4F" w:rsidRPr="001C2738" w:rsidRDefault="00025D4F" w:rsidP="00025D4F">
      <w:pPr>
        <w:spacing w:before="0" w:beforeAutospacing="0" w:after="160" w:afterAutospacing="0" w:line="259" w:lineRule="auto"/>
        <w:jc w:val="left"/>
        <w:rPr>
          <w:sz w:val="16"/>
          <w:szCs w:val="16"/>
          <w:lang w:val="es-HN"/>
        </w:rPr>
      </w:pPr>
    </w:p>
    <w:p w:rsidR="00694012" w:rsidRPr="001C2738" w:rsidRDefault="00694012" w:rsidP="00025D4F">
      <w:pPr>
        <w:spacing w:before="0" w:beforeAutospacing="0" w:after="160" w:afterAutospacing="0" w:line="259" w:lineRule="auto"/>
        <w:jc w:val="left"/>
        <w:rPr>
          <w:sz w:val="16"/>
          <w:szCs w:val="16"/>
          <w:lang w:val="es-HN"/>
        </w:rPr>
      </w:pPr>
    </w:p>
    <w:p w:rsidR="00694012" w:rsidRDefault="00694012" w:rsidP="00025D4F">
      <w:pPr>
        <w:spacing w:before="0" w:beforeAutospacing="0" w:after="160" w:afterAutospacing="0" w:line="259" w:lineRule="auto"/>
        <w:jc w:val="left"/>
        <w:rPr>
          <w:lang w:val="es-HN"/>
        </w:rPr>
      </w:pPr>
    </w:p>
    <w:p w:rsidR="00AB29D9" w:rsidRDefault="00AB29D9" w:rsidP="00025D4F">
      <w:pPr>
        <w:spacing w:before="0" w:beforeAutospacing="0" w:after="160" w:afterAutospacing="0" w:line="259" w:lineRule="auto"/>
        <w:jc w:val="left"/>
        <w:rPr>
          <w:rFonts w:eastAsiaTheme="majorEastAsia" w:cstheme="majorBidi"/>
          <w:b/>
          <w:bCs/>
          <w:sz w:val="28"/>
          <w:szCs w:val="28"/>
          <w:lang w:val="es-HN"/>
        </w:rPr>
      </w:pPr>
      <w:r>
        <w:rPr>
          <w:lang w:val="es-HN"/>
        </w:rPr>
        <w:br w:type="page"/>
      </w:r>
    </w:p>
    <w:p w:rsidR="00AB29D9" w:rsidRDefault="00AB29D9" w:rsidP="00AB29D9">
      <w:pPr>
        <w:pStyle w:val="Ttulo1"/>
        <w:rPr>
          <w:lang w:val="es-HN"/>
        </w:rPr>
      </w:pPr>
      <w:bookmarkStart w:id="12" w:name="_Toc529102107"/>
      <w:r>
        <w:rPr>
          <w:lang w:val="es-HN"/>
        </w:rPr>
        <w:lastRenderedPageBreak/>
        <w:t>CONCLUSIONES</w:t>
      </w:r>
      <w:bookmarkEnd w:id="12"/>
    </w:p>
    <w:p w:rsidR="00694C62" w:rsidRPr="00CD1135" w:rsidRDefault="007C383A" w:rsidP="00CD1135">
      <w:pPr>
        <w:pStyle w:val="Prrafodelista"/>
        <w:numPr>
          <w:ilvl w:val="0"/>
          <w:numId w:val="44"/>
        </w:numPr>
        <w:rPr>
          <w:lang w:val="es-HN"/>
        </w:rPr>
      </w:pPr>
      <w:r w:rsidRPr="00CD1135">
        <w:rPr>
          <w:lang w:val="es-HN"/>
        </w:rPr>
        <w:t xml:space="preserve">Dado que no se cuenta con sistema de costos de las prestaciones de salud asociados al diagnóstico y </w:t>
      </w:r>
      <w:r w:rsidR="0036265F" w:rsidRPr="00CD1135">
        <w:rPr>
          <w:lang w:val="es-HN"/>
        </w:rPr>
        <w:t>tratamiento, los</w:t>
      </w:r>
      <w:r w:rsidRPr="00CD1135">
        <w:rPr>
          <w:lang w:val="es-HN"/>
        </w:rPr>
        <w:t xml:space="preserve"> resultados que aquí se presentan son estimaciones de los distintos actores de la respuesta nacional a la TB.  Sin </w:t>
      </w:r>
      <w:r w:rsidR="0036265F" w:rsidRPr="00CD1135">
        <w:rPr>
          <w:lang w:val="es-HN"/>
        </w:rPr>
        <w:t>embargo,</w:t>
      </w:r>
      <w:r w:rsidRPr="00CD1135">
        <w:rPr>
          <w:lang w:val="es-HN"/>
        </w:rPr>
        <w:t xml:space="preserve"> las </w:t>
      </w:r>
      <w:r w:rsidR="00CD1135" w:rsidRPr="00CD1135">
        <w:rPr>
          <w:lang w:val="es-HN"/>
        </w:rPr>
        <w:t>estimaciones</w:t>
      </w:r>
      <w:r w:rsidR="00CD4F5F">
        <w:rPr>
          <w:lang w:val="es-HN"/>
        </w:rPr>
        <w:t xml:space="preserve"> </w:t>
      </w:r>
      <w:r w:rsidRPr="00CD1135">
        <w:rPr>
          <w:lang w:val="es-HN"/>
        </w:rPr>
        <w:t>f</w:t>
      </w:r>
      <w:r w:rsidR="00CD1135">
        <w:rPr>
          <w:lang w:val="es-HN"/>
        </w:rPr>
        <w:t>uero</w:t>
      </w:r>
      <w:r w:rsidRPr="00CD1135">
        <w:rPr>
          <w:lang w:val="es-HN"/>
        </w:rPr>
        <w:t>n realizadas con los expertos de cada institución y son una aproximación bastante ajustadas.</w:t>
      </w:r>
    </w:p>
    <w:p w:rsidR="00694C62" w:rsidRPr="00CD1135" w:rsidRDefault="007C383A" w:rsidP="00CD1135">
      <w:pPr>
        <w:pStyle w:val="Prrafodelista"/>
        <w:numPr>
          <w:ilvl w:val="0"/>
          <w:numId w:val="44"/>
        </w:numPr>
        <w:rPr>
          <w:lang w:val="es-HN"/>
        </w:rPr>
      </w:pPr>
      <w:r w:rsidRPr="00CD1135">
        <w:rPr>
          <w:lang w:val="es-HN"/>
        </w:rPr>
        <w:t>El análisis de la tendencia del gasto entre el</w:t>
      </w:r>
      <w:r w:rsidR="00B92C7E">
        <w:rPr>
          <w:lang w:val="es-HN"/>
        </w:rPr>
        <w:t xml:space="preserve"> 2014 y 2017</w:t>
      </w:r>
      <w:r w:rsidR="00694C62" w:rsidRPr="00CD1135">
        <w:rPr>
          <w:lang w:val="es-HN"/>
        </w:rPr>
        <w:t xml:space="preserve">indica que, </w:t>
      </w:r>
      <w:r w:rsidRPr="00CD1135">
        <w:rPr>
          <w:lang w:val="es-HN"/>
        </w:rPr>
        <w:t xml:space="preserve">la </w:t>
      </w:r>
      <w:r w:rsidR="00694C62" w:rsidRPr="00CD1135">
        <w:rPr>
          <w:lang w:val="es-HN"/>
        </w:rPr>
        <w:t xml:space="preserve">inversión dirigida </w:t>
      </w:r>
      <w:r w:rsidRPr="00CD1135">
        <w:rPr>
          <w:lang w:val="es-HN"/>
        </w:rPr>
        <w:t xml:space="preserve">a la </w:t>
      </w:r>
      <w:r w:rsidRPr="0070314F">
        <w:rPr>
          <w:lang w:val="es-HN"/>
        </w:rPr>
        <w:t xml:space="preserve">Tuberculosis se </w:t>
      </w:r>
      <w:r w:rsidR="00C94BE9" w:rsidRPr="0070314F">
        <w:rPr>
          <w:lang w:val="es-HN"/>
        </w:rPr>
        <w:t xml:space="preserve">ha incrementado desde el </w:t>
      </w:r>
      <w:r w:rsidR="0036265F" w:rsidRPr="0070314F">
        <w:rPr>
          <w:lang w:val="es-HN"/>
        </w:rPr>
        <w:t>2014 de</w:t>
      </w:r>
      <w:r w:rsidR="00694C62" w:rsidRPr="0070314F">
        <w:rPr>
          <w:lang w:val="es-HN"/>
        </w:rPr>
        <w:t xml:space="preserve"> US$</w:t>
      </w:r>
      <w:r w:rsidR="00C94BE9" w:rsidRPr="0070314F">
        <w:rPr>
          <w:lang w:val="es-HN"/>
        </w:rPr>
        <w:t>3</w:t>
      </w:r>
      <w:r w:rsidR="0094629D" w:rsidRPr="0070314F">
        <w:rPr>
          <w:lang w:val="es-HN"/>
        </w:rPr>
        <w:t>.5</w:t>
      </w:r>
      <w:r w:rsidR="00B40B25" w:rsidRPr="0070314F">
        <w:rPr>
          <w:lang w:val="es-HN"/>
        </w:rPr>
        <w:t>4</w:t>
      </w:r>
      <w:r w:rsidR="00694C62" w:rsidRPr="0070314F">
        <w:rPr>
          <w:lang w:val="es-HN"/>
        </w:rPr>
        <w:t xml:space="preserve"> millones</w:t>
      </w:r>
      <w:r w:rsidR="00C94BE9" w:rsidRPr="0070314F">
        <w:rPr>
          <w:lang w:val="es-HN"/>
        </w:rPr>
        <w:t xml:space="preserve"> a US$5.4 millones,</w:t>
      </w:r>
      <w:r w:rsidR="00694C62" w:rsidRPr="0070314F">
        <w:rPr>
          <w:lang w:val="es-HN"/>
        </w:rPr>
        <w:t xml:space="preserve"> un </w:t>
      </w:r>
      <w:r w:rsidRPr="0070314F">
        <w:rPr>
          <w:lang w:val="es-HN"/>
        </w:rPr>
        <w:t>crecimiento</w:t>
      </w:r>
      <w:r w:rsidR="00694C62" w:rsidRPr="0070314F">
        <w:rPr>
          <w:lang w:val="es-HN"/>
        </w:rPr>
        <w:t xml:space="preserve"> cerca del </w:t>
      </w:r>
      <w:r w:rsidR="00CD4F5F" w:rsidRPr="0070314F">
        <w:rPr>
          <w:lang w:val="es-HN"/>
        </w:rPr>
        <w:t>5</w:t>
      </w:r>
      <w:r w:rsidR="00B40B25" w:rsidRPr="0070314F">
        <w:rPr>
          <w:lang w:val="es-HN"/>
        </w:rPr>
        <w:t>3</w:t>
      </w:r>
      <w:r w:rsidR="00C94BE9" w:rsidRPr="0070314F">
        <w:rPr>
          <w:lang w:val="es-HN"/>
        </w:rPr>
        <w:t>%; entre</w:t>
      </w:r>
      <w:r w:rsidR="00C94BE9">
        <w:rPr>
          <w:lang w:val="es-HN"/>
        </w:rPr>
        <w:t xml:space="preserve"> el 2016 y 2017 el crecimiento fue del 17%. </w:t>
      </w:r>
      <w:r w:rsidR="003F1B79" w:rsidRPr="00CD1135">
        <w:rPr>
          <w:lang w:val="es-HN"/>
        </w:rPr>
        <w:t xml:space="preserve">El </w:t>
      </w:r>
      <w:r w:rsidR="00694C62" w:rsidRPr="00CD1135">
        <w:rPr>
          <w:lang w:val="es-HN"/>
        </w:rPr>
        <w:t>Gasto Público</w:t>
      </w:r>
      <w:r w:rsidR="00CD4F5F">
        <w:rPr>
          <w:lang w:val="es-HN"/>
        </w:rPr>
        <w:t xml:space="preserve"> </w:t>
      </w:r>
      <w:r w:rsidR="003F1B79" w:rsidRPr="00CD1135">
        <w:rPr>
          <w:lang w:val="es-HN"/>
        </w:rPr>
        <w:t xml:space="preserve">en TB se incrementó en </w:t>
      </w:r>
      <w:r w:rsidR="004A1D6E">
        <w:rPr>
          <w:lang w:val="es-HN"/>
        </w:rPr>
        <w:t>5</w:t>
      </w:r>
      <w:r w:rsidR="0094629D">
        <w:rPr>
          <w:lang w:val="es-HN"/>
        </w:rPr>
        <w:t>%</w:t>
      </w:r>
      <w:r w:rsidR="00C94BE9">
        <w:rPr>
          <w:lang w:val="es-HN"/>
        </w:rPr>
        <w:t xml:space="preserve">entre 2016 y 2017 por los </w:t>
      </w:r>
      <w:r w:rsidR="00B92C7E">
        <w:rPr>
          <w:lang w:val="es-HN"/>
        </w:rPr>
        <w:t>importantes</w:t>
      </w:r>
      <w:r w:rsidR="00694C62" w:rsidRPr="00CD1135">
        <w:rPr>
          <w:lang w:val="es-HN"/>
        </w:rPr>
        <w:t xml:space="preserve"> logros en la prevención</w:t>
      </w:r>
      <w:r w:rsidR="003F1B79" w:rsidRPr="00CD1135">
        <w:rPr>
          <w:lang w:val="es-HN"/>
        </w:rPr>
        <w:t xml:space="preserve"> sobre todo en la identificación y examen de los SR+14</w:t>
      </w:r>
      <w:r w:rsidR="00694C62" w:rsidRPr="00CD1135">
        <w:rPr>
          <w:lang w:val="es-HN"/>
        </w:rPr>
        <w:t>,</w:t>
      </w:r>
      <w:r w:rsidR="00CD4F5F">
        <w:rPr>
          <w:lang w:val="es-HN"/>
        </w:rPr>
        <w:t xml:space="preserve"> </w:t>
      </w:r>
      <w:r w:rsidR="00694C62" w:rsidRPr="00CD1135">
        <w:rPr>
          <w:lang w:val="es-HN"/>
        </w:rPr>
        <w:t>diagnóstico, tratamiento y curación de dicha patología en el país, como lo</w:t>
      </w:r>
      <w:r w:rsidR="00CD4F5F">
        <w:rPr>
          <w:lang w:val="es-HN"/>
        </w:rPr>
        <w:t xml:space="preserve"> </w:t>
      </w:r>
      <w:r w:rsidR="00694C62" w:rsidRPr="00CD1135">
        <w:rPr>
          <w:lang w:val="es-HN"/>
        </w:rPr>
        <w:t xml:space="preserve">sustentan las estadísticas epidemiológicas disponibles.   </w:t>
      </w:r>
    </w:p>
    <w:p w:rsidR="00694C62" w:rsidRPr="00CD1135" w:rsidRDefault="00694C62" w:rsidP="00CD1135">
      <w:pPr>
        <w:pStyle w:val="Prrafodelista"/>
        <w:numPr>
          <w:ilvl w:val="0"/>
          <w:numId w:val="44"/>
        </w:numPr>
        <w:rPr>
          <w:lang w:val="es-HN"/>
        </w:rPr>
      </w:pPr>
      <w:r w:rsidRPr="00CD1135">
        <w:rPr>
          <w:lang w:val="es-HN"/>
        </w:rPr>
        <w:t>La información estima</w:t>
      </w:r>
      <w:r w:rsidR="004D158A">
        <w:rPr>
          <w:lang w:val="es-HN"/>
        </w:rPr>
        <w:t>da para 2017</w:t>
      </w:r>
      <w:r w:rsidRPr="00CD1135">
        <w:rPr>
          <w:lang w:val="es-HN"/>
        </w:rPr>
        <w:t xml:space="preserve"> del gasto </w:t>
      </w:r>
      <w:r w:rsidR="003F1B79" w:rsidRPr="00CD1135">
        <w:rPr>
          <w:lang w:val="es-HN"/>
        </w:rPr>
        <w:t>nacional</w:t>
      </w:r>
      <w:r w:rsidRPr="00CD1135">
        <w:rPr>
          <w:lang w:val="es-HN"/>
        </w:rPr>
        <w:t xml:space="preserve"> en </w:t>
      </w:r>
      <w:r w:rsidR="0036265F" w:rsidRPr="00CD1135">
        <w:rPr>
          <w:lang w:val="es-HN"/>
        </w:rPr>
        <w:t>TB</w:t>
      </w:r>
      <w:r w:rsidR="0036265F">
        <w:rPr>
          <w:lang w:val="es-HN"/>
        </w:rPr>
        <w:t xml:space="preserve">, </w:t>
      </w:r>
      <w:r w:rsidR="0036265F" w:rsidRPr="00CD1135">
        <w:rPr>
          <w:lang w:val="es-HN"/>
        </w:rPr>
        <w:t>da</w:t>
      </w:r>
      <w:r w:rsidRPr="00CD1135">
        <w:rPr>
          <w:lang w:val="es-HN"/>
        </w:rPr>
        <w:t xml:space="preserve"> cuenta que una </w:t>
      </w:r>
      <w:r w:rsidR="003F1B79" w:rsidRPr="00CD1135">
        <w:rPr>
          <w:lang w:val="es-HN"/>
        </w:rPr>
        <w:t>i</w:t>
      </w:r>
      <w:r w:rsidRPr="00CD1135">
        <w:rPr>
          <w:lang w:val="es-HN"/>
        </w:rPr>
        <w:t>mportante cuantía del mismo ha sido sostenida gracias al aporte de los fondos</w:t>
      </w:r>
      <w:r w:rsidR="00CD4F5F">
        <w:rPr>
          <w:lang w:val="es-HN"/>
        </w:rPr>
        <w:t xml:space="preserve"> </w:t>
      </w:r>
      <w:r w:rsidR="003F1B79" w:rsidRPr="00CD1135">
        <w:rPr>
          <w:lang w:val="es-HN"/>
        </w:rPr>
        <w:t xml:space="preserve">del tesoro el </w:t>
      </w:r>
      <w:r w:rsidR="004D158A">
        <w:rPr>
          <w:lang w:val="es-HN"/>
        </w:rPr>
        <w:t>57</w:t>
      </w:r>
      <w:r w:rsidR="006E13BD">
        <w:rPr>
          <w:lang w:val="es-HN"/>
        </w:rPr>
        <w:t xml:space="preserve">%, </w:t>
      </w:r>
      <w:r w:rsidR="004D158A">
        <w:rPr>
          <w:lang w:val="es-HN"/>
        </w:rPr>
        <w:t xml:space="preserve">incluyendo las aportaciones </w:t>
      </w:r>
      <w:r w:rsidR="0036265F">
        <w:rPr>
          <w:lang w:val="es-HN"/>
        </w:rPr>
        <w:t xml:space="preserve">del </w:t>
      </w:r>
      <w:r w:rsidR="0036265F" w:rsidRPr="00CD1135">
        <w:rPr>
          <w:lang w:val="es-HN"/>
        </w:rPr>
        <w:t>INSS</w:t>
      </w:r>
      <w:r w:rsidR="00CD4F5F">
        <w:rPr>
          <w:lang w:val="es-HN"/>
        </w:rPr>
        <w:t xml:space="preserve"> </w:t>
      </w:r>
      <w:r w:rsidR="003F1B79" w:rsidRPr="00CD1135">
        <w:rPr>
          <w:lang w:val="es-HN"/>
        </w:rPr>
        <w:t xml:space="preserve">procedentes de contribuciones patronales y </w:t>
      </w:r>
      <w:r w:rsidRPr="00CD1135">
        <w:rPr>
          <w:lang w:val="es-HN"/>
        </w:rPr>
        <w:t>de los trabajadores activos</w:t>
      </w:r>
      <w:r w:rsidR="003F1B79" w:rsidRPr="00CD1135">
        <w:rPr>
          <w:lang w:val="es-HN"/>
        </w:rPr>
        <w:t xml:space="preserve"> que invierten en la prevención y atención de los pacientes TB. </w:t>
      </w:r>
      <w:r w:rsidR="00D05C73">
        <w:rPr>
          <w:lang w:val="es-HN"/>
        </w:rPr>
        <w:t xml:space="preserve">La inversión con recursos </w:t>
      </w:r>
      <w:r w:rsidR="006E13BD">
        <w:rPr>
          <w:lang w:val="es-HN"/>
        </w:rPr>
        <w:t xml:space="preserve">nacionales </w:t>
      </w:r>
      <w:r w:rsidR="003F1B79" w:rsidRPr="00CD1135">
        <w:rPr>
          <w:lang w:val="es-HN"/>
        </w:rPr>
        <w:t xml:space="preserve">es un indicativo </w:t>
      </w:r>
      <w:r w:rsidR="004A1D6E">
        <w:rPr>
          <w:lang w:val="es-HN"/>
        </w:rPr>
        <w:t>d</w:t>
      </w:r>
      <w:r w:rsidRPr="00CD1135">
        <w:rPr>
          <w:lang w:val="es-HN"/>
        </w:rPr>
        <w:t xml:space="preserve">el esfuerzo del país </w:t>
      </w:r>
      <w:r w:rsidR="003F1B79" w:rsidRPr="00CD1135">
        <w:rPr>
          <w:lang w:val="es-HN"/>
        </w:rPr>
        <w:t xml:space="preserve">para </w:t>
      </w:r>
      <w:r w:rsidR="0036265F" w:rsidRPr="00CD1135">
        <w:rPr>
          <w:lang w:val="es-HN"/>
        </w:rPr>
        <w:t>financiar con</w:t>
      </w:r>
      <w:r w:rsidRPr="00CD1135">
        <w:rPr>
          <w:lang w:val="es-HN"/>
        </w:rPr>
        <w:t xml:space="preserve"> recursos internos las</w:t>
      </w:r>
      <w:r w:rsidR="00CD4F5F">
        <w:rPr>
          <w:lang w:val="es-HN"/>
        </w:rPr>
        <w:t xml:space="preserve"> </w:t>
      </w:r>
      <w:r w:rsidRPr="00CD1135">
        <w:rPr>
          <w:lang w:val="es-HN"/>
        </w:rPr>
        <w:t>intervenciones de prevención, búsqueda, diagnóstico, tratamiento y curación</w:t>
      </w:r>
      <w:r w:rsidR="00CD4F5F">
        <w:rPr>
          <w:lang w:val="es-HN"/>
        </w:rPr>
        <w:t xml:space="preserve"> </w:t>
      </w:r>
      <w:r w:rsidRPr="00CD1135">
        <w:rPr>
          <w:lang w:val="es-HN"/>
        </w:rPr>
        <w:t xml:space="preserve">de la TB.  </w:t>
      </w:r>
    </w:p>
    <w:p w:rsidR="00CD1135" w:rsidRDefault="00CD1135" w:rsidP="00567235">
      <w:pPr>
        <w:pStyle w:val="Prrafodelista"/>
        <w:numPr>
          <w:ilvl w:val="0"/>
          <w:numId w:val="44"/>
        </w:numPr>
        <w:rPr>
          <w:lang w:val="es-HN"/>
        </w:rPr>
      </w:pPr>
      <w:r w:rsidRPr="00CD1135">
        <w:rPr>
          <w:lang w:val="es-HN"/>
        </w:rPr>
        <w:t>En cuanto a las fuentes internacionales</w:t>
      </w:r>
      <w:r w:rsidR="00694C62" w:rsidRPr="00CD1135">
        <w:rPr>
          <w:lang w:val="es-HN"/>
        </w:rPr>
        <w:t xml:space="preserve">, los aportes del Fondo Mundial, contribuyeron con el </w:t>
      </w:r>
      <w:r w:rsidR="00B92C7E">
        <w:rPr>
          <w:lang w:val="es-HN"/>
        </w:rPr>
        <w:t>41</w:t>
      </w:r>
      <w:r w:rsidR="00694C62" w:rsidRPr="00CD1135">
        <w:rPr>
          <w:lang w:val="es-HN"/>
        </w:rPr>
        <w:t xml:space="preserve">% </w:t>
      </w:r>
      <w:r w:rsidR="004D158A">
        <w:rPr>
          <w:lang w:val="es-HN"/>
        </w:rPr>
        <w:t>en 2017</w:t>
      </w:r>
      <w:r w:rsidR="00A946E5" w:rsidRPr="00CD1135">
        <w:rPr>
          <w:lang w:val="es-HN"/>
        </w:rPr>
        <w:t>.</w:t>
      </w:r>
    </w:p>
    <w:p w:rsidR="004D158A" w:rsidRPr="004D158A" w:rsidRDefault="00CD1135" w:rsidP="00567235">
      <w:pPr>
        <w:pStyle w:val="Prrafodelista"/>
        <w:numPr>
          <w:ilvl w:val="0"/>
          <w:numId w:val="44"/>
        </w:numPr>
        <w:rPr>
          <w:lang w:val="es-HN"/>
        </w:rPr>
      </w:pPr>
      <w:r w:rsidRPr="00703FE1">
        <w:rPr>
          <w:lang w:val="es-HN"/>
        </w:rPr>
        <w:t>La principal entidad</w:t>
      </w:r>
      <w:r w:rsidR="00AC19BE">
        <w:rPr>
          <w:lang w:val="es-HN"/>
        </w:rPr>
        <w:t xml:space="preserve"> proveedora</w:t>
      </w:r>
      <w:r w:rsidR="003F1B79" w:rsidRPr="00703FE1">
        <w:rPr>
          <w:lang w:val="es-HN"/>
        </w:rPr>
        <w:t xml:space="preserve"> de servicios de salud</w:t>
      </w:r>
      <w:r w:rsidRPr="00703FE1">
        <w:rPr>
          <w:lang w:val="es-HN"/>
        </w:rPr>
        <w:t xml:space="preserve"> es el MINSA a través de los centros de salud y hospitales que ejecutaron </w:t>
      </w:r>
      <w:r w:rsidR="004D158A">
        <w:rPr>
          <w:lang w:val="es-HN"/>
        </w:rPr>
        <w:t>64.3%</w:t>
      </w:r>
      <w:r w:rsidR="00703FE1" w:rsidRPr="00703FE1">
        <w:rPr>
          <w:lang w:val="es-HN"/>
        </w:rPr>
        <w:t xml:space="preserve"> (US$</w:t>
      </w:r>
      <w:r w:rsidR="004D158A">
        <w:rPr>
          <w:lang w:val="es-HN"/>
        </w:rPr>
        <w:t>3.5</w:t>
      </w:r>
      <w:r w:rsidR="00D05C73">
        <w:rPr>
          <w:lang w:val="es-HN"/>
        </w:rPr>
        <w:t>millones)</w:t>
      </w:r>
      <w:r w:rsidR="004D158A">
        <w:rPr>
          <w:lang w:val="es-HN"/>
        </w:rPr>
        <w:t xml:space="preserve"> y el 63.4</w:t>
      </w:r>
      <w:r w:rsidR="004A1D6E">
        <w:rPr>
          <w:lang w:val="es-HN"/>
        </w:rPr>
        <w:t>%</w:t>
      </w:r>
      <w:r w:rsidR="004D158A">
        <w:rPr>
          <w:lang w:val="es-HN"/>
        </w:rPr>
        <w:t xml:space="preserve"> (US$2.9 </w:t>
      </w:r>
      <w:r w:rsidR="00703FE1" w:rsidRPr="00703FE1">
        <w:rPr>
          <w:lang w:val="es-HN"/>
        </w:rPr>
        <w:t>millones)</w:t>
      </w:r>
      <w:r w:rsidR="00A946E5">
        <w:rPr>
          <w:lang w:val="es-HN"/>
        </w:rPr>
        <w:t xml:space="preserve"> en los dos</w:t>
      </w:r>
      <w:r w:rsidR="00AC19BE">
        <w:rPr>
          <w:lang w:val="es-HN"/>
        </w:rPr>
        <w:t xml:space="preserve"> </w:t>
      </w:r>
      <w:r w:rsidR="0036265F">
        <w:rPr>
          <w:lang w:val="es-NI"/>
        </w:rPr>
        <w:t>años, que</w:t>
      </w:r>
      <w:r w:rsidR="00703FE1">
        <w:rPr>
          <w:lang w:val="es-NI"/>
        </w:rPr>
        <w:t xml:space="preserve"> prestan </w:t>
      </w:r>
      <w:r w:rsidR="00B92C7E">
        <w:rPr>
          <w:lang w:val="es-NI"/>
        </w:rPr>
        <w:t>servicios de búsqueda de casos y tratamiento a las personas TB.</w:t>
      </w:r>
    </w:p>
    <w:p w:rsidR="00703FE1" w:rsidRPr="00703FE1" w:rsidRDefault="00703FE1" w:rsidP="00567235">
      <w:pPr>
        <w:pStyle w:val="Prrafodelista"/>
        <w:numPr>
          <w:ilvl w:val="0"/>
          <w:numId w:val="44"/>
        </w:numPr>
        <w:rPr>
          <w:lang w:val="es-HN"/>
        </w:rPr>
      </w:pPr>
      <w:r>
        <w:rPr>
          <w:lang w:val="es-NI"/>
        </w:rPr>
        <w:t>Los proveedores privados compuesto por las unid</w:t>
      </w:r>
      <w:r w:rsidR="00A946E5">
        <w:rPr>
          <w:lang w:val="es-NI"/>
        </w:rPr>
        <w:t xml:space="preserve">ades de la fundación Damián en 11 </w:t>
      </w:r>
      <w:r>
        <w:rPr>
          <w:lang w:val="es-NI"/>
        </w:rPr>
        <w:t>municipios del país para las actividades de ap</w:t>
      </w:r>
      <w:r w:rsidR="00A946E5">
        <w:rPr>
          <w:lang w:val="es-NI"/>
        </w:rPr>
        <w:t>oyo a pacientes en tratamiento; Acción Medica Cristiana y</w:t>
      </w:r>
      <w:r>
        <w:rPr>
          <w:lang w:val="es-NI"/>
        </w:rPr>
        <w:t xml:space="preserve"> los gastos de bolsillo </w:t>
      </w:r>
      <w:r w:rsidR="00CD4F5F">
        <w:rPr>
          <w:lang w:val="es-NI"/>
        </w:rPr>
        <w:t xml:space="preserve">de los pacientes </w:t>
      </w:r>
      <w:r w:rsidR="0036265F">
        <w:rPr>
          <w:lang w:val="es-NI"/>
        </w:rPr>
        <w:t>TB, ejecutaron</w:t>
      </w:r>
      <w:r w:rsidR="00CD4F5F">
        <w:rPr>
          <w:lang w:val="es-NI"/>
        </w:rPr>
        <w:t xml:space="preserve"> el </w:t>
      </w:r>
      <w:r>
        <w:rPr>
          <w:lang w:val="es-NI"/>
        </w:rPr>
        <w:t xml:space="preserve">10%, </w:t>
      </w:r>
      <w:r w:rsidR="00D05C73">
        <w:rPr>
          <w:lang w:val="es-NI"/>
        </w:rPr>
        <w:t xml:space="preserve">en los años 2014 </w:t>
      </w:r>
      <w:r w:rsidR="00AC1D12">
        <w:rPr>
          <w:lang w:val="es-NI"/>
        </w:rPr>
        <w:t>-</w:t>
      </w:r>
      <w:r w:rsidR="001A7EEF">
        <w:rPr>
          <w:lang w:val="es-NI"/>
        </w:rPr>
        <w:t>2017</w:t>
      </w:r>
      <w:r w:rsidR="00A946E5">
        <w:rPr>
          <w:lang w:val="es-NI"/>
        </w:rPr>
        <w:t>.</w:t>
      </w:r>
    </w:p>
    <w:p w:rsidR="00CD1135" w:rsidRPr="00703FE1" w:rsidRDefault="0036265F" w:rsidP="00567235">
      <w:pPr>
        <w:pStyle w:val="Prrafodelista"/>
        <w:numPr>
          <w:ilvl w:val="0"/>
          <w:numId w:val="44"/>
        </w:numPr>
        <w:rPr>
          <w:lang w:val="es-HN"/>
        </w:rPr>
      </w:pPr>
      <w:r w:rsidRPr="00703FE1">
        <w:rPr>
          <w:lang w:val="es-HN"/>
        </w:rPr>
        <w:t>Los casos</w:t>
      </w:r>
      <w:r w:rsidR="003F1B79" w:rsidRPr="00703FE1">
        <w:rPr>
          <w:lang w:val="es-HN"/>
        </w:rPr>
        <w:t xml:space="preserve"> de TB </w:t>
      </w:r>
      <w:r w:rsidR="00703FE1" w:rsidRPr="00703FE1">
        <w:rPr>
          <w:lang w:val="es-HN"/>
        </w:rPr>
        <w:t xml:space="preserve">que se </w:t>
      </w:r>
      <w:r w:rsidRPr="00703FE1">
        <w:rPr>
          <w:lang w:val="es-HN"/>
        </w:rPr>
        <w:t>diagnostican en</w:t>
      </w:r>
      <w:r w:rsidR="003F1B79" w:rsidRPr="00703FE1">
        <w:rPr>
          <w:lang w:val="es-HN"/>
        </w:rPr>
        <w:t xml:space="preserve"> el país en los privados de libertad, a través </w:t>
      </w:r>
      <w:r w:rsidR="00D05C73">
        <w:rPr>
          <w:lang w:val="es-HN"/>
        </w:rPr>
        <w:t xml:space="preserve">del </w:t>
      </w:r>
      <w:r w:rsidR="00703FE1" w:rsidRPr="00703FE1">
        <w:rPr>
          <w:lang w:val="es-HN"/>
        </w:rPr>
        <w:t>MIGOB</w:t>
      </w:r>
      <w:r w:rsidR="003F1B79" w:rsidRPr="00703FE1">
        <w:rPr>
          <w:lang w:val="es-HN"/>
        </w:rPr>
        <w:t>, se refleja en los costos que</w:t>
      </w:r>
      <w:r w:rsidR="00CD4F5F">
        <w:rPr>
          <w:lang w:val="es-HN"/>
        </w:rPr>
        <w:t xml:space="preserve"> </w:t>
      </w:r>
      <w:r w:rsidR="003F1B79" w:rsidRPr="00703FE1">
        <w:rPr>
          <w:lang w:val="es-HN"/>
        </w:rPr>
        <w:t>asume dicha entidad en el traslado</w:t>
      </w:r>
      <w:r w:rsidR="00703FE1" w:rsidRPr="00703FE1">
        <w:rPr>
          <w:lang w:val="es-HN"/>
        </w:rPr>
        <w:t xml:space="preserve"> de los pacientes a </w:t>
      </w:r>
      <w:r w:rsidR="00703FE1" w:rsidRPr="00703FE1">
        <w:rPr>
          <w:lang w:val="es-HN"/>
        </w:rPr>
        <w:lastRenderedPageBreak/>
        <w:t>la red de servicios de salud del MINSA</w:t>
      </w:r>
      <w:r w:rsidR="003F1B79" w:rsidRPr="00703FE1">
        <w:rPr>
          <w:lang w:val="es-HN"/>
        </w:rPr>
        <w:t>, resguardo, y otros</w:t>
      </w:r>
      <w:r w:rsidR="00CD4F5F">
        <w:rPr>
          <w:lang w:val="es-HN"/>
        </w:rPr>
        <w:t xml:space="preserve"> </w:t>
      </w:r>
      <w:r w:rsidR="003F1B79" w:rsidRPr="00703FE1">
        <w:rPr>
          <w:lang w:val="es-HN"/>
        </w:rPr>
        <w:t xml:space="preserve">gastos logísticos derivados del tratamiento de TB </w:t>
      </w:r>
      <w:r w:rsidR="00703FE1" w:rsidRPr="00703FE1">
        <w:rPr>
          <w:lang w:val="es-HN"/>
        </w:rPr>
        <w:t>a este grupo de población</w:t>
      </w:r>
      <w:r w:rsidR="001A7EEF">
        <w:rPr>
          <w:lang w:val="es-HN"/>
        </w:rPr>
        <w:t>.</w:t>
      </w:r>
    </w:p>
    <w:p w:rsidR="00CD1135" w:rsidRPr="00CD1135" w:rsidRDefault="007E2C99" w:rsidP="00CD1135">
      <w:pPr>
        <w:pStyle w:val="Prrafodelista"/>
        <w:numPr>
          <w:ilvl w:val="0"/>
          <w:numId w:val="44"/>
        </w:numPr>
        <w:rPr>
          <w:lang w:val="es-HN"/>
        </w:rPr>
      </w:pPr>
      <w:r>
        <w:rPr>
          <w:lang w:val="es-HN"/>
        </w:rPr>
        <w:t>E</w:t>
      </w:r>
      <w:r>
        <w:rPr>
          <w:lang w:val="es-NI"/>
        </w:rPr>
        <w:t xml:space="preserve">n el año 2017 el gasto por segmento de población el 27.7% (US$1.5 millones) se invirtió en acciones dirigidas a personas TB para la realización de acciones de </w:t>
      </w:r>
      <w:r w:rsidR="0036265F">
        <w:rPr>
          <w:lang w:val="es-NI"/>
        </w:rPr>
        <w:t>diagnóstico, tratamiento</w:t>
      </w:r>
      <w:r>
        <w:rPr>
          <w:lang w:val="es-NI"/>
        </w:rPr>
        <w:t xml:space="preserve"> y seguimiento. En la identificación y examinar los S</w:t>
      </w:r>
      <w:r w:rsidR="001A7EEF">
        <w:rPr>
          <w:lang w:val="es-NI"/>
        </w:rPr>
        <w:t>R+14 en población general el 26</w:t>
      </w:r>
      <w:r>
        <w:rPr>
          <w:lang w:val="es-NI"/>
        </w:rPr>
        <w:t>% (US$1.5 millones); las intervenciones no dirigidas consumieron el 15% que comprende acciones de manejo del Programa de TB del MINSA</w:t>
      </w:r>
      <w:r w:rsidR="001A7EEF">
        <w:rPr>
          <w:lang w:val="es-NI"/>
        </w:rPr>
        <w:t>.</w:t>
      </w:r>
      <w:r w:rsidR="00CD1135" w:rsidRPr="00CD1135">
        <w:rPr>
          <w:lang w:val="es-HN"/>
        </w:rPr>
        <w:br w:type="page"/>
      </w:r>
    </w:p>
    <w:p w:rsidR="00AB29D9" w:rsidRPr="009E1BA4" w:rsidRDefault="00AB29D9" w:rsidP="009E1BA4">
      <w:pPr>
        <w:spacing w:before="0" w:beforeAutospacing="0" w:after="160" w:afterAutospacing="0" w:line="259" w:lineRule="auto"/>
        <w:ind w:left="360"/>
        <w:jc w:val="left"/>
        <w:rPr>
          <w:rFonts w:eastAsiaTheme="majorEastAsia" w:cstheme="majorBidi"/>
          <w:b/>
          <w:bCs/>
          <w:sz w:val="28"/>
          <w:szCs w:val="28"/>
          <w:lang w:val="es-HN"/>
        </w:rPr>
      </w:pPr>
    </w:p>
    <w:p w:rsidR="00AB29D9" w:rsidRPr="00325FB4" w:rsidRDefault="00AB29D9" w:rsidP="00325FB4">
      <w:pPr>
        <w:pStyle w:val="Ttulo1"/>
        <w:rPr>
          <w:lang w:val="es-HN"/>
        </w:rPr>
      </w:pPr>
      <w:bookmarkStart w:id="13" w:name="_Toc529102108"/>
      <w:r w:rsidRPr="00325FB4">
        <w:rPr>
          <w:lang w:val="es-HN"/>
        </w:rPr>
        <w:t>RECOMENDACIONES</w:t>
      </w:r>
      <w:bookmarkEnd w:id="13"/>
    </w:p>
    <w:p w:rsidR="007E2C99" w:rsidRPr="007E2C99" w:rsidRDefault="007E2C99" w:rsidP="00CA457F">
      <w:pPr>
        <w:pStyle w:val="Prrafodelista"/>
        <w:numPr>
          <w:ilvl w:val="0"/>
          <w:numId w:val="42"/>
        </w:numPr>
        <w:rPr>
          <w:lang w:val="es-HN"/>
        </w:rPr>
      </w:pPr>
      <w:r w:rsidRPr="007E2C99">
        <w:rPr>
          <w:lang w:val="es-HN"/>
        </w:rPr>
        <w:t xml:space="preserve">El apoyo y la apropiación del Ministerio de </w:t>
      </w:r>
      <w:r w:rsidR="0036265F" w:rsidRPr="007E2C99">
        <w:rPr>
          <w:lang w:val="es-HN"/>
        </w:rPr>
        <w:t>Salud para</w:t>
      </w:r>
      <w:r w:rsidRPr="007E2C99">
        <w:rPr>
          <w:lang w:val="es-HN"/>
        </w:rPr>
        <w:t xml:space="preserve"> la generación del informe MEGAS TB puede lograrse si se consigue institucionalizar el proceso, estableciendo roles y disponiendo de recurso humano calificado para su ejecución.</w:t>
      </w:r>
    </w:p>
    <w:p w:rsidR="007E2C99" w:rsidRPr="007E2C99" w:rsidRDefault="007E2C99" w:rsidP="007E2C99">
      <w:pPr>
        <w:pStyle w:val="Prrafodelista"/>
        <w:numPr>
          <w:ilvl w:val="0"/>
          <w:numId w:val="42"/>
        </w:numPr>
        <w:rPr>
          <w:lang w:val="es-HN"/>
        </w:rPr>
      </w:pPr>
      <w:r w:rsidRPr="007E2C99">
        <w:rPr>
          <w:lang w:val="es-HN"/>
        </w:rPr>
        <w:t>Para garantizar un proceso más integral que a</w:t>
      </w:r>
      <w:r w:rsidR="00AC19BE">
        <w:rPr>
          <w:lang w:val="es-HN"/>
        </w:rPr>
        <w:t>segure mejores resultados, el MEGA-TB se debe realizar en</w:t>
      </w:r>
      <w:r w:rsidRPr="007E2C99">
        <w:rPr>
          <w:lang w:val="es-HN"/>
        </w:rPr>
        <w:t xml:space="preserve"> coordinación con otras instancias de</w:t>
      </w:r>
      <w:r>
        <w:rPr>
          <w:lang w:val="es-HN"/>
        </w:rPr>
        <w:t xml:space="preserve">l </w:t>
      </w:r>
      <w:r w:rsidR="00AC19BE">
        <w:rPr>
          <w:lang w:val="es-HN"/>
        </w:rPr>
        <w:t>MINSA, y</w:t>
      </w:r>
      <w:r>
        <w:rPr>
          <w:lang w:val="es-HN"/>
        </w:rPr>
        <w:t xml:space="preserve"> el INSS que son los principales ejecutores del gasto. </w:t>
      </w:r>
    </w:p>
    <w:p w:rsidR="00B40925" w:rsidRPr="001B4173" w:rsidRDefault="00B40925" w:rsidP="001B4173">
      <w:pPr>
        <w:pStyle w:val="Prrafodelista"/>
        <w:numPr>
          <w:ilvl w:val="0"/>
          <w:numId w:val="42"/>
        </w:numPr>
        <w:rPr>
          <w:lang w:val="es-HN"/>
        </w:rPr>
      </w:pPr>
      <w:r w:rsidRPr="001B4173">
        <w:rPr>
          <w:lang w:val="es-HN"/>
        </w:rPr>
        <w:t xml:space="preserve">Para los siguientes estudios a realizarse en el país sobre la Medición de Gasto en </w:t>
      </w:r>
      <w:r w:rsidR="0036265F" w:rsidRPr="001B4173">
        <w:rPr>
          <w:lang w:val="es-HN"/>
        </w:rPr>
        <w:t>Tuberculosis como instrumento</w:t>
      </w:r>
      <w:r w:rsidRPr="001B4173">
        <w:rPr>
          <w:lang w:val="es-HN"/>
        </w:rPr>
        <w:t xml:space="preserve"> básico para la planificación, formulación y evaluación de las políticas públicas relacionado con TB, se debe institucionalizar el Informe, a través del MINSA y su Programa Nacional de Tuberculosis, creando las capacidades y los mecanismos para registrar los gastos por fuente y agente. De igual modo considerar el flujo de la información para normarla, considerando las dificultades </w:t>
      </w:r>
      <w:r w:rsidR="006174EE">
        <w:rPr>
          <w:lang w:val="es-HN"/>
        </w:rPr>
        <w:t>obse</w:t>
      </w:r>
      <w:r w:rsidR="00006125">
        <w:rPr>
          <w:lang w:val="es-HN"/>
        </w:rPr>
        <w:t>r</w:t>
      </w:r>
      <w:r w:rsidR="006174EE">
        <w:rPr>
          <w:lang w:val="es-HN"/>
        </w:rPr>
        <w:t>vadas</w:t>
      </w:r>
      <w:r w:rsidRPr="001B4173">
        <w:rPr>
          <w:lang w:val="es-HN"/>
        </w:rPr>
        <w:t xml:space="preserve"> durante el proceso de recolección de datos para este informe.</w:t>
      </w:r>
    </w:p>
    <w:p w:rsidR="00B40925" w:rsidRDefault="00B40925" w:rsidP="001B4173">
      <w:pPr>
        <w:pStyle w:val="Prrafodelista"/>
        <w:numPr>
          <w:ilvl w:val="0"/>
          <w:numId w:val="42"/>
        </w:numPr>
        <w:rPr>
          <w:lang w:val="es-HN"/>
        </w:rPr>
      </w:pPr>
      <w:r w:rsidRPr="001B4173">
        <w:rPr>
          <w:lang w:val="es-HN"/>
        </w:rPr>
        <w:t xml:space="preserve">Durante el proceso de organización de cada estudio Medición del Gasto es necesario dedicar tiempo para capacitar a todos los actores involucrados, en los objetivos y metodología a utilizar y los beneficios de aportar la información para su propio uso posterior.  </w:t>
      </w:r>
    </w:p>
    <w:p w:rsidR="00325FB4" w:rsidRPr="002D57E7" w:rsidRDefault="00325FB4" w:rsidP="00CA457F">
      <w:pPr>
        <w:pStyle w:val="Prrafodelista"/>
        <w:numPr>
          <w:ilvl w:val="0"/>
          <w:numId w:val="42"/>
        </w:numPr>
        <w:rPr>
          <w:rFonts w:eastAsiaTheme="majorEastAsia" w:cstheme="majorBidi"/>
          <w:b/>
          <w:bCs/>
          <w:sz w:val="28"/>
          <w:szCs w:val="28"/>
          <w:lang w:val="es-HN"/>
        </w:rPr>
      </w:pPr>
      <w:r w:rsidRPr="002D57E7">
        <w:rPr>
          <w:lang w:val="es-HN"/>
        </w:rPr>
        <w:t>P</w:t>
      </w:r>
      <w:r w:rsidR="00B40925" w:rsidRPr="002D57E7">
        <w:rPr>
          <w:lang w:val="es-HN"/>
        </w:rPr>
        <w:t xml:space="preserve">rofundizar el esfuerzo interinstitucional e interdisciplinario para </w:t>
      </w:r>
      <w:r w:rsidR="00AC1D12" w:rsidRPr="002D57E7">
        <w:rPr>
          <w:lang w:val="es-HN"/>
        </w:rPr>
        <w:t>mejorar</w:t>
      </w:r>
      <w:r w:rsidRPr="002D57E7">
        <w:rPr>
          <w:lang w:val="es-HN"/>
        </w:rPr>
        <w:t xml:space="preserve"> las estadísticas económicas </w:t>
      </w:r>
      <w:r w:rsidR="00D05C73" w:rsidRPr="002D57E7">
        <w:rPr>
          <w:lang w:val="es-HN"/>
        </w:rPr>
        <w:t>de l</w:t>
      </w:r>
      <w:r w:rsidRPr="002D57E7">
        <w:rPr>
          <w:lang w:val="es-HN"/>
        </w:rPr>
        <w:t xml:space="preserve">a estimación anual del Gasto </w:t>
      </w:r>
      <w:r w:rsidR="0036265F" w:rsidRPr="002D57E7">
        <w:rPr>
          <w:lang w:val="es-HN"/>
        </w:rPr>
        <w:t>en TB</w:t>
      </w:r>
      <w:r w:rsidR="00B40925" w:rsidRPr="002D57E7">
        <w:rPr>
          <w:lang w:val="es-HN"/>
        </w:rPr>
        <w:t xml:space="preserve"> de los próximos </w:t>
      </w:r>
      <w:r w:rsidRPr="002D57E7">
        <w:rPr>
          <w:lang w:val="es-HN"/>
        </w:rPr>
        <w:t>estudios del gasto</w:t>
      </w:r>
      <w:r w:rsidR="00B40925" w:rsidRPr="002D57E7">
        <w:rPr>
          <w:lang w:val="es-HN"/>
        </w:rPr>
        <w:t>,</w:t>
      </w:r>
      <w:r w:rsidRPr="002D57E7">
        <w:rPr>
          <w:lang w:val="es-HN"/>
        </w:rPr>
        <w:t xml:space="preserve"> bajo la coordinación del MINSA</w:t>
      </w:r>
      <w:r w:rsidR="00B40925" w:rsidRPr="002D57E7">
        <w:rPr>
          <w:lang w:val="es-HN"/>
        </w:rPr>
        <w:t xml:space="preserve">. </w:t>
      </w:r>
    </w:p>
    <w:p w:rsidR="00325FB4" w:rsidRPr="001B4173" w:rsidRDefault="00325FB4" w:rsidP="001B4173">
      <w:pPr>
        <w:pStyle w:val="Prrafodelista"/>
        <w:numPr>
          <w:ilvl w:val="0"/>
          <w:numId w:val="42"/>
        </w:numPr>
        <w:rPr>
          <w:lang w:val="es-HN"/>
        </w:rPr>
      </w:pPr>
      <w:r w:rsidRPr="001B4173">
        <w:rPr>
          <w:lang w:val="es-HN"/>
        </w:rPr>
        <w:t xml:space="preserve">Socializar y utilizar el informe </w:t>
      </w:r>
      <w:r w:rsidR="001B4173" w:rsidRPr="001B4173">
        <w:rPr>
          <w:lang w:val="es-HN"/>
        </w:rPr>
        <w:t>de Medición del Gasto en TB</w:t>
      </w:r>
      <w:r w:rsidR="00FA3FAD">
        <w:rPr>
          <w:lang w:val="es-HN"/>
        </w:rPr>
        <w:t xml:space="preserve"> </w:t>
      </w:r>
      <w:r w:rsidRPr="001B4173">
        <w:rPr>
          <w:lang w:val="es-HN"/>
        </w:rPr>
        <w:t>como un documento político para lograr</w:t>
      </w:r>
      <w:r w:rsidR="00FA3FAD">
        <w:rPr>
          <w:lang w:val="es-HN"/>
        </w:rPr>
        <w:t xml:space="preserve"> </w:t>
      </w:r>
      <w:r w:rsidRPr="001B4173">
        <w:rPr>
          <w:lang w:val="es-HN"/>
        </w:rPr>
        <w:t>una mayor inversión en las poblaciones más afectadas por la epidemia.</w:t>
      </w:r>
    </w:p>
    <w:p w:rsidR="00325FB4" w:rsidRPr="001B4173" w:rsidRDefault="00325FB4" w:rsidP="002E4DEB">
      <w:pPr>
        <w:pStyle w:val="Prrafodelista"/>
        <w:numPr>
          <w:ilvl w:val="0"/>
          <w:numId w:val="42"/>
        </w:numPr>
        <w:rPr>
          <w:lang w:val="es-HN"/>
        </w:rPr>
      </w:pPr>
      <w:r w:rsidRPr="001B4173">
        <w:rPr>
          <w:lang w:val="es-HN"/>
        </w:rPr>
        <w:t xml:space="preserve">Concientizar a los actores en la respuesta </w:t>
      </w:r>
      <w:r w:rsidR="001B4173">
        <w:rPr>
          <w:lang w:val="es-HN"/>
        </w:rPr>
        <w:t xml:space="preserve">a la </w:t>
      </w:r>
      <w:r w:rsidR="0036265F">
        <w:rPr>
          <w:lang w:val="es-HN"/>
        </w:rPr>
        <w:t xml:space="preserve">TB </w:t>
      </w:r>
      <w:r w:rsidR="0036265F" w:rsidRPr="001B4173">
        <w:rPr>
          <w:lang w:val="es-HN"/>
        </w:rPr>
        <w:t>a</w:t>
      </w:r>
      <w:r w:rsidRPr="001B4173">
        <w:rPr>
          <w:lang w:val="es-HN"/>
        </w:rPr>
        <w:t xml:space="preserve"> tener una mayor participación en el reporte de sus gastos, y de esta forma contar con información que enriquezca este ejercicio. </w:t>
      </w:r>
    </w:p>
    <w:p w:rsidR="00325FB4" w:rsidRPr="001B4173" w:rsidRDefault="002E4DEB" w:rsidP="002E4DEB">
      <w:pPr>
        <w:pStyle w:val="Prrafodelista"/>
        <w:numPr>
          <w:ilvl w:val="0"/>
          <w:numId w:val="42"/>
        </w:numPr>
        <w:rPr>
          <w:lang w:val="es-HN"/>
        </w:rPr>
      </w:pPr>
      <w:r>
        <w:rPr>
          <w:lang w:val="es-HN"/>
        </w:rPr>
        <w:t>Es importante</w:t>
      </w:r>
      <w:r w:rsidR="001B4173">
        <w:rPr>
          <w:lang w:val="es-HN"/>
        </w:rPr>
        <w:t xml:space="preserve"> que las unidades </w:t>
      </w:r>
      <w:r w:rsidR="00D05C73">
        <w:rPr>
          <w:lang w:val="es-HN"/>
        </w:rPr>
        <w:t xml:space="preserve">que </w:t>
      </w:r>
      <w:r w:rsidR="001B4173">
        <w:rPr>
          <w:lang w:val="es-HN"/>
        </w:rPr>
        <w:t>reportan gasto</w:t>
      </w:r>
      <w:r w:rsidR="00325FB4" w:rsidRPr="001B4173">
        <w:rPr>
          <w:lang w:val="es-HN"/>
        </w:rPr>
        <w:t xml:space="preserve">, informen sus intervenciones o </w:t>
      </w:r>
      <w:r w:rsidR="00FA3FAD" w:rsidRPr="001B4173">
        <w:rPr>
          <w:lang w:val="es-HN"/>
        </w:rPr>
        <w:t xml:space="preserve">programas </w:t>
      </w:r>
      <w:r w:rsidR="0036265F" w:rsidRPr="001B4173">
        <w:rPr>
          <w:lang w:val="es-HN"/>
        </w:rPr>
        <w:t>desagregados por</w:t>
      </w:r>
      <w:r w:rsidR="00325FB4" w:rsidRPr="001B4173">
        <w:rPr>
          <w:lang w:val="es-HN"/>
        </w:rPr>
        <w:t xml:space="preserve"> tipo de población beneficiada para evitar el uso de cuentas no desglosadas y así tener una mejor apreciación del gasto.</w:t>
      </w:r>
    </w:p>
    <w:p w:rsidR="00AB29D9" w:rsidRPr="001B4173" w:rsidRDefault="00AB29D9" w:rsidP="001B4173">
      <w:pPr>
        <w:pStyle w:val="Prrafodelista"/>
        <w:numPr>
          <w:ilvl w:val="0"/>
          <w:numId w:val="42"/>
        </w:numPr>
        <w:rPr>
          <w:lang w:val="es-HN"/>
        </w:rPr>
      </w:pPr>
      <w:r w:rsidRPr="001B4173">
        <w:rPr>
          <w:lang w:val="es-HN"/>
        </w:rPr>
        <w:br w:type="page"/>
      </w:r>
    </w:p>
    <w:p w:rsidR="00C5285E" w:rsidRDefault="00C5285E" w:rsidP="001C6CF5">
      <w:pPr>
        <w:pStyle w:val="Ttulo1"/>
        <w:rPr>
          <w:lang w:val="es-HN"/>
        </w:rPr>
      </w:pPr>
      <w:bookmarkStart w:id="14" w:name="_Toc529102109"/>
      <w:r>
        <w:rPr>
          <w:lang w:val="es-HN"/>
        </w:rPr>
        <w:lastRenderedPageBreak/>
        <w:t>aNEXOS</w:t>
      </w:r>
      <w:bookmarkEnd w:id="14"/>
    </w:p>
    <w:p w:rsidR="00603B69" w:rsidRPr="00603B69" w:rsidRDefault="00603B69" w:rsidP="00603B69">
      <w:pPr>
        <w:pStyle w:val="Ttulo2"/>
      </w:pPr>
      <w:bookmarkStart w:id="15" w:name="_Toc529102110"/>
      <w:r w:rsidRPr="00603B69">
        <w:t>Tablas</w:t>
      </w:r>
      <w:bookmarkEnd w:id="15"/>
    </w:p>
    <w:p w:rsidR="00CC7295" w:rsidRPr="00CC7295" w:rsidRDefault="009E1BA4" w:rsidP="00CC7295">
      <w:pPr>
        <w:spacing w:before="0" w:beforeAutospacing="0" w:after="0" w:afterAutospacing="0"/>
        <w:jc w:val="center"/>
        <w:rPr>
          <w:b/>
          <w:lang w:val="es-NI"/>
        </w:rPr>
      </w:pPr>
      <w:r>
        <w:rPr>
          <w:b/>
          <w:lang w:val="es-HN"/>
        </w:rPr>
        <w:t>Tabla 5</w:t>
      </w:r>
      <w:r w:rsidR="00CC7295" w:rsidRPr="00CC7295">
        <w:rPr>
          <w:b/>
          <w:lang w:val="es-HN"/>
        </w:rPr>
        <w:t xml:space="preserve">. </w:t>
      </w:r>
      <w:r w:rsidR="00CC7295" w:rsidRPr="00CC7295">
        <w:rPr>
          <w:b/>
          <w:lang w:val="es-NI"/>
        </w:rPr>
        <w:t>Principales factores productivos en gasto por Tuberculosis Nicaragua,</w:t>
      </w:r>
    </w:p>
    <w:p w:rsidR="00CC7295" w:rsidRDefault="00195374" w:rsidP="00CC7295">
      <w:pPr>
        <w:spacing w:before="0" w:beforeAutospacing="0" w:after="0" w:afterAutospacing="0"/>
        <w:jc w:val="center"/>
        <w:rPr>
          <w:b/>
          <w:lang w:val="es-NI"/>
        </w:rPr>
      </w:pPr>
      <w:r>
        <w:rPr>
          <w:b/>
          <w:lang w:val="es-NI"/>
        </w:rPr>
        <w:t>2014-2017</w:t>
      </w:r>
      <w:r w:rsidR="00CC7295" w:rsidRPr="00CC7295">
        <w:rPr>
          <w:b/>
          <w:lang w:val="es-NI"/>
        </w:rPr>
        <w:t xml:space="preserve"> en US$</w:t>
      </w:r>
    </w:p>
    <w:tbl>
      <w:tblPr>
        <w:tblStyle w:val="Tabladecuadrcula4-nfasis51"/>
        <w:tblW w:w="9098" w:type="dxa"/>
        <w:tblLook w:val="0620" w:firstRow="1" w:lastRow="0" w:firstColumn="0" w:lastColumn="0" w:noHBand="1" w:noVBand="1"/>
      </w:tblPr>
      <w:tblGrid>
        <w:gridCol w:w="2689"/>
        <w:gridCol w:w="867"/>
        <w:gridCol w:w="768"/>
        <w:gridCol w:w="998"/>
        <w:gridCol w:w="581"/>
        <w:gridCol w:w="867"/>
        <w:gridCol w:w="581"/>
        <w:gridCol w:w="867"/>
        <w:gridCol w:w="880"/>
      </w:tblGrid>
      <w:tr w:rsidR="00195374" w:rsidRPr="00195374" w:rsidTr="00195374">
        <w:trPr>
          <w:cnfStyle w:val="100000000000" w:firstRow="1" w:lastRow="0" w:firstColumn="0" w:lastColumn="0" w:oddVBand="0" w:evenVBand="0" w:oddHBand="0" w:evenHBand="0" w:firstRowFirstColumn="0" w:firstRowLastColumn="0" w:lastRowFirstColumn="0" w:lastRowLastColumn="0"/>
          <w:trHeight w:val="315"/>
        </w:trPr>
        <w:tc>
          <w:tcPr>
            <w:tcW w:w="2689" w:type="dxa"/>
            <w:noWrap/>
            <w:hideMark/>
          </w:tcPr>
          <w:p w:rsidR="00195374" w:rsidRPr="00195374" w:rsidRDefault="00195374" w:rsidP="00195374">
            <w:pPr>
              <w:spacing w:before="0" w:beforeAutospacing="0" w:after="0" w:afterAutospacing="0" w:line="240" w:lineRule="auto"/>
              <w:jc w:val="left"/>
              <w:rPr>
                <w:rFonts w:ascii="Times New Roman" w:eastAsia="Times New Roman" w:hAnsi="Times New Roman" w:cs="Times New Roman"/>
                <w:color w:val="000000"/>
                <w:sz w:val="16"/>
                <w:szCs w:val="16"/>
                <w:lang w:val="es-NI" w:eastAsia="es-NI"/>
              </w:rPr>
            </w:pPr>
            <w:r w:rsidRPr="00195374">
              <w:rPr>
                <w:rFonts w:ascii="Times New Roman" w:eastAsia="Times New Roman" w:hAnsi="Times New Roman" w:cs="Times New Roman"/>
                <w:color w:val="000000"/>
                <w:sz w:val="16"/>
                <w:szCs w:val="16"/>
                <w:lang w:val="es-NI" w:eastAsia="es-NI"/>
              </w:rPr>
              <w:t>FACTORES DE PRODUCCIÓN</w:t>
            </w:r>
          </w:p>
        </w:tc>
        <w:tc>
          <w:tcPr>
            <w:tcW w:w="867" w:type="dxa"/>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eastAsia="es-NI"/>
              </w:rPr>
              <w:t>2014</w:t>
            </w:r>
          </w:p>
        </w:tc>
        <w:tc>
          <w:tcPr>
            <w:tcW w:w="768" w:type="dxa"/>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eastAsia="es-NI"/>
              </w:rPr>
              <w:t>%</w:t>
            </w:r>
          </w:p>
        </w:tc>
        <w:tc>
          <w:tcPr>
            <w:tcW w:w="998" w:type="dxa"/>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eastAsia="es-NI"/>
              </w:rPr>
              <w:t>2015</w:t>
            </w:r>
          </w:p>
        </w:tc>
        <w:tc>
          <w:tcPr>
            <w:tcW w:w="581" w:type="dxa"/>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eastAsia="es-NI"/>
              </w:rPr>
              <w:t>%</w:t>
            </w:r>
          </w:p>
        </w:tc>
        <w:tc>
          <w:tcPr>
            <w:tcW w:w="867" w:type="dxa"/>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eastAsia="es-NI"/>
              </w:rPr>
              <w:t>2016</w:t>
            </w:r>
          </w:p>
        </w:tc>
        <w:tc>
          <w:tcPr>
            <w:tcW w:w="581" w:type="dxa"/>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eastAsia="es-NI"/>
              </w:rPr>
              <w:t>%</w:t>
            </w:r>
          </w:p>
        </w:tc>
        <w:tc>
          <w:tcPr>
            <w:tcW w:w="867" w:type="dxa"/>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2017</w:t>
            </w:r>
          </w:p>
        </w:tc>
        <w:tc>
          <w:tcPr>
            <w:tcW w:w="880" w:type="dxa"/>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eastAsia="es-NI"/>
              </w:rPr>
              <w:t>%</w:t>
            </w:r>
          </w:p>
        </w:tc>
      </w:tr>
      <w:tr w:rsidR="00195374" w:rsidRPr="00195374" w:rsidTr="00195374">
        <w:trPr>
          <w:trHeight w:val="300"/>
        </w:trPr>
        <w:tc>
          <w:tcPr>
            <w:tcW w:w="2689" w:type="dxa"/>
            <w:noWrap/>
            <w:hideMark/>
          </w:tcPr>
          <w:p w:rsidR="00195374" w:rsidRPr="00195374" w:rsidRDefault="00195374" w:rsidP="00195374">
            <w:pPr>
              <w:spacing w:before="0" w:beforeAutospacing="0" w:after="0" w:afterAutospacing="0" w:line="240" w:lineRule="auto"/>
              <w:jc w:val="left"/>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Alimentos y nutrientes</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98,630</w:t>
            </w:r>
          </w:p>
        </w:tc>
        <w:tc>
          <w:tcPr>
            <w:tcW w:w="768"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2.78</w:t>
            </w:r>
          </w:p>
        </w:tc>
        <w:tc>
          <w:tcPr>
            <w:tcW w:w="998"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48,053</w:t>
            </w:r>
          </w:p>
        </w:tc>
        <w:tc>
          <w:tcPr>
            <w:tcW w:w="581"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1.10</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136,745</w:t>
            </w:r>
          </w:p>
        </w:tc>
        <w:tc>
          <w:tcPr>
            <w:tcW w:w="581"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2.96</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189,717</w:t>
            </w:r>
          </w:p>
        </w:tc>
        <w:tc>
          <w:tcPr>
            <w:tcW w:w="880"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3.51</w:t>
            </w:r>
          </w:p>
        </w:tc>
      </w:tr>
      <w:tr w:rsidR="00195374" w:rsidRPr="00195374" w:rsidTr="00195374">
        <w:trPr>
          <w:trHeight w:val="300"/>
        </w:trPr>
        <w:tc>
          <w:tcPr>
            <w:tcW w:w="2689" w:type="dxa"/>
            <w:noWrap/>
            <w:hideMark/>
          </w:tcPr>
          <w:p w:rsidR="00195374" w:rsidRPr="00195374" w:rsidRDefault="00195374" w:rsidP="00195374">
            <w:pPr>
              <w:spacing w:before="0" w:beforeAutospacing="0" w:after="0" w:afterAutospacing="0" w:line="240" w:lineRule="auto"/>
              <w:jc w:val="left"/>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Contribuciones sociales</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52,618</w:t>
            </w:r>
          </w:p>
        </w:tc>
        <w:tc>
          <w:tcPr>
            <w:tcW w:w="768"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1.49</w:t>
            </w:r>
          </w:p>
        </w:tc>
        <w:tc>
          <w:tcPr>
            <w:tcW w:w="998"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56,036</w:t>
            </w:r>
          </w:p>
        </w:tc>
        <w:tc>
          <w:tcPr>
            <w:tcW w:w="581"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1.28</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60,165</w:t>
            </w:r>
          </w:p>
        </w:tc>
        <w:tc>
          <w:tcPr>
            <w:tcW w:w="581"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1.30</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24,036</w:t>
            </w:r>
          </w:p>
        </w:tc>
        <w:tc>
          <w:tcPr>
            <w:tcW w:w="880"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0.45</w:t>
            </w:r>
          </w:p>
        </w:tc>
      </w:tr>
      <w:tr w:rsidR="00195374" w:rsidRPr="00195374" w:rsidTr="00195374">
        <w:trPr>
          <w:trHeight w:val="300"/>
        </w:trPr>
        <w:tc>
          <w:tcPr>
            <w:tcW w:w="2689" w:type="dxa"/>
            <w:noWrap/>
            <w:hideMark/>
          </w:tcPr>
          <w:p w:rsidR="00195374" w:rsidRPr="00195374" w:rsidRDefault="00195374" w:rsidP="00195374">
            <w:pPr>
              <w:spacing w:before="0" w:beforeAutospacing="0" w:after="0" w:afterAutospacing="0" w:line="240" w:lineRule="auto"/>
              <w:jc w:val="left"/>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Equipos no desglosados por tipo</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20,511</w:t>
            </w:r>
          </w:p>
        </w:tc>
        <w:tc>
          <w:tcPr>
            <w:tcW w:w="768"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0.58</w:t>
            </w:r>
          </w:p>
        </w:tc>
        <w:tc>
          <w:tcPr>
            <w:tcW w:w="998"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1,233</w:t>
            </w:r>
          </w:p>
        </w:tc>
        <w:tc>
          <w:tcPr>
            <w:tcW w:w="581"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0.03</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6,101</w:t>
            </w:r>
          </w:p>
        </w:tc>
        <w:tc>
          <w:tcPr>
            <w:tcW w:w="581"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0.13</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197,718</w:t>
            </w:r>
          </w:p>
        </w:tc>
        <w:tc>
          <w:tcPr>
            <w:tcW w:w="880"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3.66</w:t>
            </w:r>
          </w:p>
        </w:tc>
      </w:tr>
      <w:tr w:rsidR="00195374" w:rsidRPr="00195374" w:rsidTr="00195374">
        <w:trPr>
          <w:trHeight w:val="300"/>
        </w:trPr>
        <w:tc>
          <w:tcPr>
            <w:tcW w:w="2689" w:type="dxa"/>
            <w:noWrap/>
            <w:hideMark/>
          </w:tcPr>
          <w:p w:rsidR="00195374" w:rsidRPr="00195374" w:rsidRDefault="00195374" w:rsidP="00195374">
            <w:pPr>
              <w:spacing w:before="0" w:beforeAutospacing="0" w:after="0" w:afterAutospacing="0" w:line="240" w:lineRule="auto"/>
              <w:jc w:val="left"/>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Factores de producción no desglosados por tipo</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2,504</w:t>
            </w:r>
          </w:p>
        </w:tc>
        <w:tc>
          <w:tcPr>
            <w:tcW w:w="768"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0.07</w:t>
            </w:r>
          </w:p>
        </w:tc>
        <w:tc>
          <w:tcPr>
            <w:tcW w:w="998"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1,480</w:t>
            </w:r>
          </w:p>
        </w:tc>
        <w:tc>
          <w:tcPr>
            <w:tcW w:w="581"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0.03</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1,480</w:t>
            </w:r>
          </w:p>
        </w:tc>
        <w:tc>
          <w:tcPr>
            <w:tcW w:w="581"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0.03</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p>
        </w:tc>
        <w:tc>
          <w:tcPr>
            <w:tcW w:w="880"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w:t>
            </w:r>
          </w:p>
        </w:tc>
      </w:tr>
      <w:tr w:rsidR="00195374" w:rsidRPr="00195374" w:rsidTr="00195374">
        <w:trPr>
          <w:trHeight w:val="300"/>
        </w:trPr>
        <w:tc>
          <w:tcPr>
            <w:tcW w:w="2689" w:type="dxa"/>
            <w:noWrap/>
            <w:hideMark/>
          </w:tcPr>
          <w:p w:rsidR="00195374" w:rsidRPr="00195374" w:rsidRDefault="00195374" w:rsidP="00195374">
            <w:pPr>
              <w:spacing w:before="0" w:beforeAutospacing="0" w:after="0" w:afterAutospacing="0" w:line="240" w:lineRule="auto"/>
              <w:jc w:val="left"/>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 xml:space="preserve">Fármacos </w:t>
            </w:r>
            <w:r>
              <w:rPr>
                <w:rFonts w:ascii="Calibri" w:eastAsia="Times New Roman" w:hAnsi="Calibri" w:cs="Calibri"/>
                <w:color w:val="000000"/>
                <w:sz w:val="16"/>
                <w:szCs w:val="16"/>
                <w:lang w:val="es-NI" w:eastAsia="es-NI"/>
              </w:rPr>
              <w:t>antifimicos</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31,579</w:t>
            </w:r>
          </w:p>
        </w:tc>
        <w:tc>
          <w:tcPr>
            <w:tcW w:w="768"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0.89</w:t>
            </w:r>
          </w:p>
        </w:tc>
        <w:tc>
          <w:tcPr>
            <w:tcW w:w="998"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52,156</w:t>
            </w:r>
          </w:p>
        </w:tc>
        <w:tc>
          <w:tcPr>
            <w:tcW w:w="581"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1.19</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83,556</w:t>
            </w:r>
          </w:p>
        </w:tc>
        <w:tc>
          <w:tcPr>
            <w:tcW w:w="581"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1.81</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70,533</w:t>
            </w:r>
          </w:p>
        </w:tc>
        <w:tc>
          <w:tcPr>
            <w:tcW w:w="880"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1.31</w:t>
            </w:r>
          </w:p>
        </w:tc>
      </w:tr>
      <w:tr w:rsidR="00195374" w:rsidRPr="00195374" w:rsidTr="00195374">
        <w:trPr>
          <w:trHeight w:val="300"/>
        </w:trPr>
        <w:tc>
          <w:tcPr>
            <w:tcW w:w="2689" w:type="dxa"/>
            <w:noWrap/>
            <w:hideMark/>
          </w:tcPr>
          <w:p w:rsidR="00195374" w:rsidRPr="00195374" w:rsidRDefault="00195374" w:rsidP="00195374">
            <w:pPr>
              <w:spacing w:before="0" w:beforeAutospacing="0" w:after="0" w:afterAutospacing="0" w:line="240" w:lineRule="auto"/>
              <w:jc w:val="left"/>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Gastos actuales s.c.o.</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p>
        </w:tc>
        <w:tc>
          <w:tcPr>
            <w:tcW w:w="768"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w:t>
            </w:r>
          </w:p>
        </w:tc>
        <w:tc>
          <w:tcPr>
            <w:tcW w:w="998"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p>
        </w:tc>
        <w:tc>
          <w:tcPr>
            <w:tcW w:w="581"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19,089</w:t>
            </w:r>
          </w:p>
        </w:tc>
        <w:tc>
          <w:tcPr>
            <w:tcW w:w="581"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0.41</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17,826</w:t>
            </w:r>
          </w:p>
        </w:tc>
        <w:tc>
          <w:tcPr>
            <w:tcW w:w="880"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0.33</w:t>
            </w:r>
          </w:p>
        </w:tc>
      </w:tr>
      <w:tr w:rsidR="00195374" w:rsidRPr="00195374" w:rsidTr="00195374">
        <w:trPr>
          <w:trHeight w:val="300"/>
        </w:trPr>
        <w:tc>
          <w:tcPr>
            <w:tcW w:w="2689" w:type="dxa"/>
            <w:noWrap/>
            <w:hideMark/>
          </w:tcPr>
          <w:p w:rsidR="00195374" w:rsidRPr="00195374" w:rsidRDefault="00195374" w:rsidP="00195374">
            <w:pPr>
              <w:spacing w:before="0" w:beforeAutospacing="0" w:after="0" w:afterAutospacing="0" w:line="240" w:lineRule="auto"/>
              <w:jc w:val="left"/>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Logística de eventos, incluidos servicios de catering</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187,760</w:t>
            </w:r>
          </w:p>
        </w:tc>
        <w:tc>
          <w:tcPr>
            <w:tcW w:w="768"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5.30</w:t>
            </w:r>
          </w:p>
        </w:tc>
        <w:tc>
          <w:tcPr>
            <w:tcW w:w="998"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116,886</w:t>
            </w:r>
          </w:p>
        </w:tc>
        <w:tc>
          <w:tcPr>
            <w:tcW w:w="581"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2.67</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90,989</w:t>
            </w:r>
          </w:p>
        </w:tc>
        <w:tc>
          <w:tcPr>
            <w:tcW w:w="581"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1.97</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14,434</w:t>
            </w:r>
          </w:p>
        </w:tc>
        <w:tc>
          <w:tcPr>
            <w:tcW w:w="880"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0.27</w:t>
            </w:r>
          </w:p>
        </w:tc>
      </w:tr>
      <w:tr w:rsidR="00195374" w:rsidRPr="00195374" w:rsidTr="00195374">
        <w:trPr>
          <w:trHeight w:val="300"/>
        </w:trPr>
        <w:tc>
          <w:tcPr>
            <w:tcW w:w="2689" w:type="dxa"/>
            <w:noWrap/>
            <w:hideMark/>
          </w:tcPr>
          <w:p w:rsidR="00195374" w:rsidRPr="00195374" w:rsidRDefault="00195374" w:rsidP="00195374">
            <w:pPr>
              <w:spacing w:before="0" w:beforeAutospacing="0" w:after="0" w:afterAutospacing="0" w:line="240" w:lineRule="auto"/>
              <w:jc w:val="left"/>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Mejora de laboratorios y otra infraestructura</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367,151</w:t>
            </w:r>
          </w:p>
        </w:tc>
        <w:tc>
          <w:tcPr>
            <w:tcW w:w="768"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10.37</w:t>
            </w:r>
          </w:p>
        </w:tc>
        <w:tc>
          <w:tcPr>
            <w:tcW w:w="998"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366,579</w:t>
            </w:r>
          </w:p>
        </w:tc>
        <w:tc>
          <w:tcPr>
            <w:tcW w:w="581"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8.37</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438,708</w:t>
            </w:r>
          </w:p>
        </w:tc>
        <w:tc>
          <w:tcPr>
            <w:tcW w:w="581"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9.50</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439,874</w:t>
            </w:r>
          </w:p>
        </w:tc>
        <w:tc>
          <w:tcPr>
            <w:tcW w:w="880"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8.15</w:t>
            </w:r>
          </w:p>
        </w:tc>
      </w:tr>
      <w:tr w:rsidR="00195374" w:rsidRPr="00195374" w:rsidTr="00195374">
        <w:trPr>
          <w:trHeight w:val="300"/>
        </w:trPr>
        <w:tc>
          <w:tcPr>
            <w:tcW w:w="2689" w:type="dxa"/>
            <w:noWrap/>
            <w:hideMark/>
          </w:tcPr>
          <w:p w:rsidR="00195374" w:rsidRPr="00195374" w:rsidRDefault="00195374" w:rsidP="00195374">
            <w:pPr>
              <w:spacing w:before="0" w:beforeAutospacing="0" w:after="0" w:afterAutospacing="0" w:line="240" w:lineRule="auto"/>
              <w:jc w:val="left"/>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Otros fármacos y productos farmacéuticos (excluidos los fármacos anteriores)</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p>
        </w:tc>
        <w:tc>
          <w:tcPr>
            <w:tcW w:w="768"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w:t>
            </w:r>
          </w:p>
        </w:tc>
        <w:tc>
          <w:tcPr>
            <w:tcW w:w="998"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p>
        </w:tc>
        <w:tc>
          <w:tcPr>
            <w:tcW w:w="581"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5,520</w:t>
            </w:r>
          </w:p>
        </w:tc>
        <w:tc>
          <w:tcPr>
            <w:tcW w:w="581"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0.12</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6,739</w:t>
            </w:r>
          </w:p>
        </w:tc>
        <w:tc>
          <w:tcPr>
            <w:tcW w:w="880"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0.12</w:t>
            </w:r>
          </w:p>
        </w:tc>
      </w:tr>
      <w:tr w:rsidR="00195374" w:rsidRPr="00195374" w:rsidTr="00195374">
        <w:trPr>
          <w:trHeight w:val="300"/>
        </w:trPr>
        <w:tc>
          <w:tcPr>
            <w:tcW w:w="2689" w:type="dxa"/>
            <w:noWrap/>
            <w:hideMark/>
          </w:tcPr>
          <w:p w:rsidR="00195374" w:rsidRPr="00195374" w:rsidRDefault="00195374" w:rsidP="00195374">
            <w:pPr>
              <w:spacing w:before="0" w:beforeAutospacing="0" w:after="0" w:afterAutospacing="0" w:line="240" w:lineRule="auto"/>
              <w:jc w:val="left"/>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Otros suministros materiales s.c.o.</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p>
        </w:tc>
        <w:tc>
          <w:tcPr>
            <w:tcW w:w="768"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w:t>
            </w:r>
          </w:p>
        </w:tc>
        <w:tc>
          <w:tcPr>
            <w:tcW w:w="998"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p>
        </w:tc>
        <w:tc>
          <w:tcPr>
            <w:tcW w:w="581"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p>
        </w:tc>
        <w:tc>
          <w:tcPr>
            <w:tcW w:w="581"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2,334</w:t>
            </w:r>
          </w:p>
        </w:tc>
        <w:tc>
          <w:tcPr>
            <w:tcW w:w="880"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0.04</w:t>
            </w:r>
          </w:p>
        </w:tc>
      </w:tr>
      <w:tr w:rsidR="00195374" w:rsidRPr="00195374" w:rsidTr="00195374">
        <w:trPr>
          <w:trHeight w:val="300"/>
        </w:trPr>
        <w:tc>
          <w:tcPr>
            <w:tcW w:w="2689" w:type="dxa"/>
            <w:noWrap/>
            <w:hideMark/>
          </w:tcPr>
          <w:p w:rsidR="00195374" w:rsidRPr="00195374" w:rsidRDefault="00195374" w:rsidP="00195374">
            <w:pPr>
              <w:spacing w:before="0" w:beforeAutospacing="0" w:after="0" w:afterAutospacing="0" w:line="240" w:lineRule="auto"/>
              <w:jc w:val="left"/>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Reactivos y materiales</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201,111</w:t>
            </w:r>
          </w:p>
        </w:tc>
        <w:tc>
          <w:tcPr>
            <w:tcW w:w="768"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5.68</w:t>
            </w:r>
          </w:p>
        </w:tc>
        <w:tc>
          <w:tcPr>
            <w:tcW w:w="998"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283,637</w:t>
            </w:r>
          </w:p>
        </w:tc>
        <w:tc>
          <w:tcPr>
            <w:tcW w:w="581"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6.47</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95,111</w:t>
            </w:r>
          </w:p>
        </w:tc>
        <w:tc>
          <w:tcPr>
            <w:tcW w:w="581"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2.06</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121,346</w:t>
            </w:r>
          </w:p>
        </w:tc>
        <w:tc>
          <w:tcPr>
            <w:tcW w:w="880"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2.25</w:t>
            </w:r>
          </w:p>
        </w:tc>
      </w:tr>
      <w:tr w:rsidR="00195374" w:rsidRPr="00195374" w:rsidTr="00195374">
        <w:trPr>
          <w:trHeight w:val="300"/>
        </w:trPr>
        <w:tc>
          <w:tcPr>
            <w:tcW w:w="2689" w:type="dxa"/>
            <w:noWrap/>
            <w:hideMark/>
          </w:tcPr>
          <w:p w:rsidR="00195374" w:rsidRPr="00195374" w:rsidRDefault="00195374" w:rsidP="00195374">
            <w:pPr>
              <w:spacing w:before="0" w:beforeAutospacing="0" w:after="0" w:afterAutospacing="0" w:line="240" w:lineRule="auto"/>
              <w:jc w:val="left"/>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Salarios</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985,768</w:t>
            </w:r>
          </w:p>
        </w:tc>
        <w:tc>
          <w:tcPr>
            <w:tcW w:w="768"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27.83</w:t>
            </w:r>
          </w:p>
        </w:tc>
        <w:tc>
          <w:tcPr>
            <w:tcW w:w="998"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1,361,278</w:t>
            </w:r>
          </w:p>
        </w:tc>
        <w:tc>
          <w:tcPr>
            <w:tcW w:w="581"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31.07</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2,196,089</w:t>
            </w:r>
          </w:p>
        </w:tc>
        <w:tc>
          <w:tcPr>
            <w:tcW w:w="581"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47.56</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2,429,592</w:t>
            </w:r>
          </w:p>
        </w:tc>
        <w:tc>
          <w:tcPr>
            <w:tcW w:w="880"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45.01</w:t>
            </w:r>
          </w:p>
        </w:tc>
      </w:tr>
      <w:tr w:rsidR="00195374" w:rsidRPr="00195374" w:rsidTr="00195374">
        <w:trPr>
          <w:trHeight w:val="300"/>
        </w:trPr>
        <w:tc>
          <w:tcPr>
            <w:tcW w:w="2689" w:type="dxa"/>
            <w:noWrap/>
            <w:hideMark/>
          </w:tcPr>
          <w:p w:rsidR="00195374" w:rsidRPr="00195374" w:rsidRDefault="00195374" w:rsidP="00195374">
            <w:pPr>
              <w:spacing w:before="0" w:beforeAutospacing="0" w:after="0" w:afterAutospacing="0" w:line="240" w:lineRule="auto"/>
              <w:jc w:val="left"/>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Servicios administrativos</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473,170</w:t>
            </w:r>
          </w:p>
        </w:tc>
        <w:tc>
          <w:tcPr>
            <w:tcW w:w="768"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13.36</w:t>
            </w:r>
          </w:p>
        </w:tc>
        <w:tc>
          <w:tcPr>
            <w:tcW w:w="998"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808,730</w:t>
            </w:r>
          </w:p>
        </w:tc>
        <w:tc>
          <w:tcPr>
            <w:tcW w:w="581"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18.46</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476,803</w:t>
            </w:r>
          </w:p>
        </w:tc>
        <w:tc>
          <w:tcPr>
            <w:tcW w:w="581"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10.33</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581,927</w:t>
            </w:r>
          </w:p>
        </w:tc>
        <w:tc>
          <w:tcPr>
            <w:tcW w:w="880"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10.78</w:t>
            </w:r>
          </w:p>
        </w:tc>
      </w:tr>
      <w:tr w:rsidR="00195374" w:rsidRPr="00195374" w:rsidTr="00195374">
        <w:trPr>
          <w:trHeight w:val="300"/>
        </w:trPr>
        <w:tc>
          <w:tcPr>
            <w:tcW w:w="2689" w:type="dxa"/>
            <w:noWrap/>
            <w:hideMark/>
          </w:tcPr>
          <w:p w:rsidR="00195374" w:rsidRPr="00195374" w:rsidRDefault="00195374" w:rsidP="00195374">
            <w:pPr>
              <w:spacing w:before="0" w:beforeAutospacing="0" w:after="0" w:afterAutospacing="0" w:line="240" w:lineRule="auto"/>
              <w:jc w:val="left"/>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Servicios de consultoría</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59,697</w:t>
            </w:r>
          </w:p>
        </w:tc>
        <w:tc>
          <w:tcPr>
            <w:tcW w:w="768"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1.69</w:t>
            </w:r>
          </w:p>
        </w:tc>
        <w:tc>
          <w:tcPr>
            <w:tcW w:w="998"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54,567</w:t>
            </w:r>
          </w:p>
        </w:tc>
        <w:tc>
          <w:tcPr>
            <w:tcW w:w="581"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1.25</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24,592</w:t>
            </w:r>
          </w:p>
        </w:tc>
        <w:tc>
          <w:tcPr>
            <w:tcW w:w="581"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0.53</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87,361</w:t>
            </w:r>
          </w:p>
        </w:tc>
        <w:tc>
          <w:tcPr>
            <w:tcW w:w="880"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1.62</w:t>
            </w:r>
          </w:p>
        </w:tc>
      </w:tr>
      <w:tr w:rsidR="00195374" w:rsidRPr="00195374" w:rsidTr="00195374">
        <w:trPr>
          <w:trHeight w:val="300"/>
        </w:trPr>
        <w:tc>
          <w:tcPr>
            <w:tcW w:w="2689" w:type="dxa"/>
            <w:noWrap/>
            <w:hideMark/>
          </w:tcPr>
          <w:p w:rsidR="00195374" w:rsidRPr="00195374" w:rsidRDefault="00195374" w:rsidP="00195374">
            <w:pPr>
              <w:spacing w:before="0" w:beforeAutospacing="0" w:after="0" w:afterAutospacing="0" w:line="240" w:lineRule="auto"/>
              <w:jc w:val="left"/>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Servicios de editores, películas, tele radiodifusión y programación</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61,774</w:t>
            </w:r>
          </w:p>
        </w:tc>
        <w:tc>
          <w:tcPr>
            <w:tcW w:w="768"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1.74</w:t>
            </w:r>
          </w:p>
        </w:tc>
        <w:tc>
          <w:tcPr>
            <w:tcW w:w="998"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35,880</w:t>
            </w:r>
          </w:p>
        </w:tc>
        <w:tc>
          <w:tcPr>
            <w:tcW w:w="581"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0.82</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13,370</w:t>
            </w:r>
          </w:p>
        </w:tc>
        <w:tc>
          <w:tcPr>
            <w:tcW w:w="581"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0.29</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35,391</w:t>
            </w:r>
          </w:p>
        </w:tc>
        <w:tc>
          <w:tcPr>
            <w:tcW w:w="880"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0.66</w:t>
            </w:r>
          </w:p>
        </w:tc>
      </w:tr>
      <w:tr w:rsidR="00195374" w:rsidRPr="00195374" w:rsidTr="00195374">
        <w:trPr>
          <w:trHeight w:val="300"/>
        </w:trPr>
        <w:tc>
          <w:tcPr>
            <w:tcW w:w="2689" w:type="dxa"/>
            <w:noWrap/>
            <w:hideMark/>
          </w:tcPr>
          <w:p w:rsidR="00195374" w:rsidRPr="00195374" w:rsidRDefault="00195374" w:rsidP="00195374">
            <w:pPr>
              <w:spacing w:before="0" w:beforeAutospacing="0" w:after="0" w:afterAutospacing="0" w:line="240" w:lineRule="auto"/>
              <w:jc w:val="left"/>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Servicios de intermediación financiera</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139</w:t>
            </w:r>
          </w:p>
        </w:tc>
        <w:tc>
          <w:tcPr>
            <w:tcW w:w="768"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0.00</w:t>
            </w:r>
          </w:p>
        </w:tc>
        <w:tc>
          <w:tcPr>
            <w:tcW w:w="998"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716</w:t>
            </w:r>
          </w:p>
        </w:tc>
        <w:tc>
          <w:tcPr>
            <w:tcW w:w="581"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0.02</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716</w:t>
            </w:r>
          </w:p>
        </w:tc>
        <w:tc>
          <w:tcPr>
            <w:tcW w:w="581"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0.02</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680</w:t>
            </w:r>
          </w:p>
        </w:tc>
        <w:tc>
          <w:tcPr>
            <w:tcW w:w="880"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0.01</w:t>
            </w:r>
          </w:p>
        </w:tc>
      </w:tr>
      <w:tr w:rsidR="00195374" w:rsidRPr="00195374" w:rsidTr="00195374">
        <w:trPr>
          <w:trHeight w:val="300"/>
        </w:trPr>
        <w:tc>
          <w:tcPr>
            <w:tcW w:w="2689" w:type="dxa"/>
            <w:noWrap/>
            <w:hideMark/>
          </w:tcPr>
          <w:p w:rsidR="00195374" w:rsidRPr="00195374" w:rsidRDefault="00195374" w:rsidP="00195374">
            <w:pPr>
              <w:spacing w:before="0" w:beforeAutospacing="0" w:after="0" w:afterAutospacing="0" w:line="240" w:lineRule="auto"/>
              <w:jc w:val="left"/>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Servicios de mantenimiento y reparación</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236,300</w:t>
            </w:r>
          </w:p>
        </w:tc>
        <w:tc>
          <w:tcPr>
            <w:tcW w:w="768"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6.67</w:t>
            </w:r>
          </w:p>
        </w:tc>
        <w:tc>
          <w:tcPr>
            <w:tcW w:w="998"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174,857</w:t>
            </w:r>
          </w:p>
        </w:tc>
        <w:tc>
          <w:tcPr>
            <w:tcW w:w="581"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3.99</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163,584</w:t>
            </w:r>
          </w:p>
        </w:tc>
        <w:tc>
          <w:tcPr>
            <w:tcW w:w="581"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3.54</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171,890</w:t>
            </w:r>
          </w:p>
        </w:tc>
        <w:tc>
          <w:tcPr>
            <w:tcW w:w="880"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3.18</w:t>
            </w:r>
          </w:p>
        </w:tc>
      </w:tr>
      <w:tr w:rsidR="00195374" w:rsidRPr="00195374" w:rsidTr="00195374">
        <w:trPr>
          <w:trHeight w:val="300"/>
        </w:trPr>
        <w:tc>
          <w:tcPr>
            <w:tcW w:w="2689" w:type="dxa"/>
            <w:noWrap/>
            <w:hideMark/>
          </w:tcPr>
          <w:p w:rsidR="00195374" w:rsidRPr="00195374" w:rsidRDefault="00195374" w:rsidP="00195374">
            <w:pPr>
              <w:spacing w:before="0" w:beforeAutospacing="0" w:after="0" w:afterAutospacing="0" w:line="240" w:lineRule="auto"/>
              <w:jc w:val="left"/>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Servicios de transporte y viajes</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729,572</w:t>
            </w:r>
          </w:p>
        </w:tc>
        <w:tc>
          <w:tcPr>
            <w:tcW w:w="768"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20.60</w:t>
            </w:r>
          </w:p>
        </w:tc>
        <w:tc>
          <w:tcPr>
            <w:tcW w:w="998"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989,420</w:t>
            </w:r>
          </w:p>
        </w:tc>
        <w:tc>
          <w:tcPr>
            <w:tcW w:w="581"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22.58</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519,186</w:t>
            </w:r>
          </w:p>
        </w:tc>
        <w:tc>
          <w:tcPr>
            <w:tcW w:w="581"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11.24</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968,635</w:t>
            </w:r>
          </w:p>
        </w:tc>
        <w:tc>
          <w:tcPr>
            <w:tcW w:w="880"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17.94</w:t>
            </w:r>
          </w:p>
        </w:tc>
      </w:tr>
      <w:tr w:rsidR="00195374" w:rsidRPr="00195374" w:rsidTr="00195374">
        <w:trPr>
          <w:trHeight w:val="300"/>
        </w:trPr>
        <w:tc>
          <w:tcPr>
            <w:tcW w:w="2689" w:type="dxa"/>
            <w:noWrap/>
            <w:hideMark/>
          </w:tcPr>
          <w:p w:rsidR="00195374" w:rsidRPr="00195374" w:rsidRDefault="00195374" w:rsidP="00195374">
            <w:pPr>
              <w:spacing w:before="0" w:beforeAutospacing="0" w:after="0" w:afterAutospacing="0" w:line="240" w:lineRule="auto"/>
              <w:jc w:val="left"/>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Servicios de vivienda</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13,046</w:t>
            </w:r>
          </w:p>
        </w:tc>
        <w:tc>
          <w:tcPr>
            <w:tcW w:w="768"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0.37</w:t>
            </w:r>
          </w:p>
        </w:tc>
        <w:tc>
          <w:tcPr>
            <w:tcW w:w="998"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10,997</w:t>
            </w:r>
          </w:p>
        </w:tc>
        <w:tc>
          <w:tcPr>
            <w:tcW w:w="581"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0.25</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10,337</w:t>
            </w:r>
          </w:p>
        </w:tc>
        <w:tc>
          <w:tcPr>
            <w:tcW w:w="581"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0.22</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p>
        </w:tc>
        <w:tc>
          <w:tcPr>
            <w:tcW w:w="880"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w:t>
            </w:r>
          </w:p>
        </w:tc>
      </w:tr>
      <w:tr w:rsidR="00195374" w:rsidRPr="00195374" w:rsidTr="00195374">
        <w:trPr>
          <w:trHeight w:val="300"/>
        </w:trPr>
        <w:tc>
          <w:tcPr>
            <w:tcW w:w="2689" w:type="dxa"/>
            <w:noWrap/>
            <w:hideMark/>
          </w:tcPr>
          <w:p w:rsidR="00195374" w:rsidRPr="00195374" w:rsidRDefault="00195374" w:rsidP="00195374">
            <w:pPr>
              <w:spacing w:before="0" w:beforeAutospacing="0" w:after="0" w:afterAutospacing="0" w:line="240" w:lineRule="auto"/>
              <w:jc w:val="left"/>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Suministros materiales no desglosados por tipo</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p>
        </w:tc>
        <w:tc>
          <w:tcPr>
            <w:tcW w:w="768"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w:t>
            </w:r>
          </w:p>
        </w:tc>
        <w:tc>
          <w:tcPr>
            <w:tcW w:w="998"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p>
        </w:tc>
        <w:tc>
          <w:tcPr>
            <w:tcW w:w="581"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13,030</w:t>
            </w:r>
          </w:p>
        </w:tc>
        <w:tc>
          <w:tcPr>
            <w:tcW w:w="581"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0.28</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20,988</w:t>
            </w:r>
          </w:p>
        </w:tc>
        <w:tc>
          <w:tcPr>
            <w:tcW w:w="880"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0.39</w:t>
            </w:r>
          </w:p>
        </w:tc>
      </w:tr>
      <w:tr w:rsidR="00195374" w:rsidRPr="00195374" w:rsidTr="00195374">
        <w:trPr>
          <w:trHeight w:val="300"/>
        </w:trPr>
        <w:tc>
          <w:tcPr>
            <w:tcW w:w="2689" w:type="dxa"/>
            <w:noWrap/>
            <w:hideMark/>
          </w:tcPr>
          <w:p w:rsidR="00195374" w:rsidRPr="00195374" w:rsidRDefault="00195374" w:rsidP="00195374">
            <w:pPr>
              <w:spacing w:before="0" w:beforeAutospacing="0" w:after="0" w:afterAutospacing="0" w:line="240" w:lineRule="auto"/>
              <w:jc w:val="left"/>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Suministros médicos y quirúrgicos</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9,160</w:t>
            </w:r>
          </w:p>
        </w:tc>
        <w:tc>
          <w:tcPr>
            <w:tcW w:w="768"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0.26</w:t>
            </w:r>
          </w:p>
        </w:tc>
        <w:tc>
          <w:tcPr>
            <w:tcW w:w="998"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8,652</w:t>
            </w:r>
          </w:p>
        </w:tc>
        <w:tc>
          <w:tcPr>
            <w:tcW w:w="581"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0.20</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15,899</w:t>
            </w:r>
          </w:p>
        </w:tc>
        <w:tc>
          <w:tcPr>
            <w:tcW w:w="581"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0.34</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13,006</w:t>
            </w:r>
          </w:p>
        </w:tc>
        <w:tc>
          <w:tcPr>
            <w:tcW w:w="880"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0.24</w:t>
            </w:r>
          </w:p>
        </w:tc>
      </w:tr>
      <w:tr w:rsidR="00195374" w:rsidRPr="00195374" w:rsidTr="00195374">
        <w:trPr>
          <w:trHeight w:val="300"/>
        </w:trPr>
        <w:tc>
          <w:tcPr>
            <w:tcW w:w="2689" w:type="dxa"/>
            <w:noWrap/>
            <w:hideMark/>
          </w:tcPr>
          <w:p w:rsidR="00195374" w:rsidRPr="00195374" w:rsidRDefault="00195374" w:rsidP="00195374">
            <w:pPr>
              <w:spacing w:before="0" w:beforeAutospacing="0" w:after="0" w:afterAutospacing="0" w:line="240" w:lineRule="auto"/>
              <w:jc w:val="left"/>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Tecnología de la información (hardware y software)</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555</w:t>
            </w:r>
          </w:p>
        </w:tc>
        <w:tc>
          <w:tcPr>
            <w:tcW w:w="768"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0.02</w:t>
            </w:r>
          </w:p>
        </w:tc>
        <w:tc>
          <w:tcPr>
            <w:tcW w:w="998"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550</w:t>
            </w:r>
          </w:p>
        </w:tc>
        <w:tc>
          <w:tcPr>
            <w:tcW w:w="581"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0.01</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122,112</w:t>
            </w:r>
          </w:p>
        </w:tc>
        <w:tc>
          <w:tcPr>
            <w:tcW w:w="581"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2.64</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3,551</w:t>
            </w:r>
          </w:p>
        </w:tc>
        <w:tc>
          <w:tcPr>
            <w:tcW w:w="880"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0.07</w:t>
            </w:r>
          </w:p>
        </w:tc>
      </w:tr>
      <w:tr w:rsidR="00195374" w:rsidRPr="00195374" w:rsidTr="00195374">
        <w:trPr>
          <w:trHeight w:val="300"/>
        </w:trPr>
        <w:tc>
          <w:tcPr>
            <w:tcW w:w="2689" w:type="dxa"/>
            <w:noWrap/>
            <w:hideMark/>
          </w:tcPr>
          <w:p w:rsidR="00195374" w:rsidRPr="00195374" w:rsidRDefault="00195374" w:rsidP="00195374">
            <w:pPr>
              <w:spacing w:before="0" w:beforeAutospacing="0" w:after="0" w:afterAutospacing="0" w:line="240" w:lineRule="auto"/>
              <w:jc w:val="left"/>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Uniformes y materiales escolares</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p>
        </w:tc>
        <w:tc>
          <w:tcPr>
            <w:tcW w:w="768"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w:t>
            </w:r>
          </w:p>
        </w:tc>
        <w:tc>
          <w:tcPr>
            <w:tcW w:w="998"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p>
        </w:tc>
        <w:tc>
          <w:tcPr>
            <w:tcW w:w="581"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p>
        </w:tc>
        <w:tc>
          <w:tcPr>
            <w:tcW w:w="581"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366</w:t>
            </w:r>
          </w:p>
        </w:tc>
        <w:tc>
          <w:tcPr>
            <w:tcW w:w="880"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0.01</w:t>
            </w:r>
          </w:p>
        </w:tc>
      </w:tr>
      <w:tr w:rsidR="00195374" w:rsidRPr="00195374" w:rsidTr="00195374">
        <w:trPr>
          <w:trHeight w:val="300"/>
        </w:trPr>
        <w:tc>
          <w:tcPr>
            <w:tcW w:w="2689" w:type="dxa"/>
            <w:noWrap/>
            <w:hideMark/>
          </w:tcPr>
          <w:p w:rsidR="00195374" w:rsidRPr="00195374" w:rsidRDefault="00195374" w:rsidP="00195374">
            <w:pPr>
              <w:spacing w:before="0" w:beforeAutospacing="0" w:after="0" w:afterAutospacing="0" w:line="240" w:lineRule="auto"/>
              <w:jc w:val="left"/>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Vehículos</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11,048</w:t>
            </w:r>
          </w:p>
        </w:tc>
        <w:tc>
          <w:tcPr>
            <w:tcW w:w="768"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0.31</w:t>
            </w:r>
          </w:p>
        </w:tc>
        <w:tc>
          <w:tcPr>
            <w:tcW w:w="998"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10,275</w:t>
            </w:r>
          </w:p>
        </w:tc>
        <w:tc>
          <w:tcPr>
            <w:tcW w:w="581"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0.23</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124,513</w:t>
            </w:r>
          </w:p>
        </w:tc>
        <w:tc>
          <w:tcPr>
            <w:tcW w:w="581"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2.70</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p>
        </w:tc>
        <w:tc>
          <w:tcPr>
            <w:tcW w:w="880"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w:t>
            </w:r>
          </w:p>
        </w:tc>
      </w:tr>
      <w:tr w:rsidR="00195374" w:rsidRPr="00195374" w:rsidTr="00195374">
        <w:trPr>
          <w:trHeight w:val="300"/>
        </w:trPr>
        <w:tc>
          <w:tcPr>
            <w:tcW w:w="2689" w:type="dxa"/>
            <w:noWrap/>
            <w:hideMark/>
          </w:tcPr>
          <w:p w:rsidR="00195374" w:rsidRPr="00195374" w:rsidRDefault="00195374" w:rsidP="00195374">
            <w:pPr>
              <w:spacing w:before="0" w:beforeAutospacing="0" w:after="0" w:afterAutospacing="0" w:line="240" w:lineRule="auto"/>
              <w:jc w:val="left"/>
              <w:rPr>
                <w:rFonts w:ascii="Calibri" w:eastAsia="Times New Roman" w:hAnsi="Calibri" w:cs="Calibri"/>
                <w:b/>
                <w:bCs/>
                <w:color w:val="000000"/>
                <w:sz w:val="16"/>
                <w:szCs w:val="16"/>
                <w:lang w:val="es-NI" w:eastAsia="es-NI"/>
              </w:rPr>
            </w:pPr>
            <w:r>
              <w:rPr>
                <w:rFonts w:ascii="Calibri" w:eastAsia="Times New Roman" w:hAnsi="Calibri" w:cs="Calibri"/>
                <w:b/>
                <w:bCs/>
                <w:color w:val="000000"/>
                <w:sz w:val="16"/>
                <w:szCs w:val="16"/>
                <w:lang w:val="es-NI" w:eastAsia="es-NI"/>
              </w:rPr>
              <w:t>Gran Total</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b/>
                <w:bCs/>
                <w:color w:val="000000"/>
                <w:sz w:val="16"/>
                <w:szCs w:val="16"/>
                <w:lang w:val="es-NI" w:eastAsia="es-NI"/>
              </w:rPr>
            </w:pPr>
            <w:r w:rsidRPr="00195374">
              <w:rPr>
                <w:rFonts w:ascii="Calibri" w:eastAsia="Times New Roman" w:hAnsi="Calibri" w:cs="Calibri"/>
                <w:b/>
                <w:bCs/>
                <w:color w:val="000000"/>
                <w:sz w:val="16"/>
                <w:szCs w:val="16"/>
                <w:lang w:val="es-NI" w:eastAsia="es-NI"/>
              </w:rPr>
              <w:t>3,542,093</w:t>
            </w:r>
          </w:p>
        </w:tc>
        <w:tc>
          <w:tcPr>
            <w:tcW w:w="768"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100</w:t>
            </w:r>
          </w:p>
        </w:tc>
        <w:tc>
          <w:tcPr>
            <w:tcW w:w="998"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b/>
                <w:bCs/>
                <w:color w:val="000000"/>
                <w:sz w:val="16"/>
                <w:szCs w:val="16"/>
                <w:lang w:val="es-NI" w:eastAsia="es-NI"/>
              </w:rPr>
            </w:pPr>
            <w:r w:rsidRPr="00195374">
              <w:rPr>
                <w:rFonts w:ascii="Calibri" w:eastAsia="Times New Roman" w:hAnsi="Calibri" w:cs="Calibri"/>
                <w:b/>
                <w:bCs/>
                <w:color w:val="000000"/>
                <w:sz w:val="16"/>
                <w:szCs w:val="16"/>
                <w:lang w:val="es-NI" w:eastAsia="es-NI"/>
              </w:rPr>
              <w:t>4,381,981</w:t>
            </w:r>
          </w:p>
        </w:tc>
        <w:tc>
          <w:tcPr>
            <w:tcW w:w="581"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100</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b/>
                <w:bCs/>
                <w:color w:val="000000"/>
                <w:sz w:val="16"/>
                <w:szCs w:val="16"/>
                <w:lang w:val="es-NI" w:eastAsia="es-NI"/>
              </w:rPr>
            </w:pPr>
            <w:r w:rsidRPr="00195374">
              <w:rPr>
                <w:rFonts w:ascii="Calibri" w:eastAsia="Times New Roman" w:hAnsi="Calibri" w:cs="Calibri"/>
                <w:b/>
                <w:bCs/>
                <w:color w:val="000000"/>
                <w:sz w:val="16"/>
                <w:szCs w:val="16"/>
                <w:lang w:val="es-NI" w:eastAsia="es-NI"/>
              </w:rPr>
              <w:t>4,617,696</w:t>
            </w:r>
          </w:p>
        </w:tc>
        <w:tc>
          <w:tcPr>
            <w:tcW w:w="581"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100</w:t>
            </w:r>
          </w:p>
        </w:tc>
        <w:tc>
          <w:tcPr>
            <w:tcW w:w="867"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b/>
                <w:bCs/>
                <w:color w:val="000000"/>
                <w:sz w:val="16"/>
                <w:szCs w:val="16"/>
                <w:lang w:val="es-NI" w:eastAsia="es-NI"/>
              </w:rPr>
            </w:pPr>
            <w:r w:rsidRPr="00195374">
              <w:rPr>
                <w:rFonts w:ascii="Calibri" w:eastAsia="Times New Roman" w:hAnsi="Calibri" w:cs="Calibri"/>
                <w:b/>
                <w:bCs/>
                <w:color w:val="000000"/>
                <w:sz w:val="16"/>
                <w:szCs w:val="16"/>
                <w:lang w:val="es-NI" w:eastAsia="es-NI"/>
              </w:rPr>
              <w:t>5,397,943</w:t>
            </w:r>
          </w:p>
        </w:tc>
        <w:tc>
          <w:tcPr>
            <w:tcW w:w="880" w:type="dxa"/>
            <w:noWrap/>
            <w:vAlign w:val="center"/>
            <w:hideMark/>
          </w:tcPr>
          <w:p w:rsidR="00195374" w:rsidRPr="00195374" w:rsidRDefault="00195374" w:rsidP="00195374">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195374">
              <w:rPr>
                <w:rFonts w:ascii="Calibri" w:eastAsia="Times New Roman" w:hAnsi="Calibri" w:cs="Calibri"/>
                <w:color w:val="000000"/>
                <w:sz w:val="16"/>
                <w:szCs w:val="16"/>
                <w:lang w:val="es-NI" w:eastAsia="es-NI"/>
              </w:rPr>
              <w:t>100.00</w:t>
            </w:r>
          </w:p>
        </w:tc>
      </w:tr>
    </w:tbl>
    <w:p w:rsidR="00694C62" w:rsidRPr="001C2738" w:rsidRDefault="00694C62" w:rsidP="00694C62">
      <w:pPr>
        <w:spacing w:before="0" w:beforeAutospacing="0" w:after="0" w:afterAutospacing="0" w:line="259" w:lineRule="auto"/>
        <w:jc w:val="left"/>
        <w:rPr>
          <w:sz w:val="16"/>
          <w:szCs w:val="16"/>
          <w:lang w:val="es-HN"/>
        </w:rPr>
      </w:pPr>
      <w:r w:rsidRPr="001C2738">
        <w:rPr>
          <w:sz w:val="16"/>
          <w:szCs w:val="16"/>
          <w:lang w:val="es-HN"/>
        </w:rPr>
        <w:t>Fuente: Base de datos consolidado de transacciones Medición del</w:t>
      </w:r>
      <w:r w:rsidR="00195374" w:rsidRPr="001C2738">
        <w:rPr>
          <w:sz w:val="16"/>
          <w:szCs w:val="16"/>
          <w:lang w:val="es-HN"/>
        </w:rPr>
        <w:t xml:space="preserve"> Gasto en Tuberculosis 2014-2017</w:t>
      </w:r>
    </w:p>
    <w:p w:rsidR="002E4DEB" w:rsidRDefault="002E4DEB" w:rsidP="00542C7E">
      <w:pPr>
        <w:pStyle w:val="Ttulo1"/>
        <w:rPr>
          <w:lang w:val="es-HN"/>
        </w:rPr>
      </w:pPr>
      <w:r>
        <w:rPr>
          <w:lang w:val="es-HN"/>
        </w:rPr>
        <w:br w:type="page"/>
      </w:r>
    </w:p>
    <w:p w:rsidR="00694C62" w:rsidRPr="00694C62" w:rsidRDefault="009E1BA4" w:rsidP="00694C62">
      <w:pPr>
        <w:spacing w:before="0" w:beforeAutospacing="0" w:after="0" w:afterAutospacing="0"/>
        <w:jc w:val="center"/>
        <w:rPr>
          <w:b/>
          <w:lang w:val="es-HN"/>
        </w:rPr>
      </w:pPr>
      <w:r>
        <w:rPr>
          <w:b/>
          <w:lang w:val="es-HN"/>
        </w:rPr>
        <w:lastRenderedPageBreak/>
        <w:t>Tabla 6</w:t>
      </w:r>
      <w:r w:rsidR="00694C62">
        <w:rPr>
          <w:b/>
          <w:lang w:val="es-HN"/>
        </w:rPr>
        <w:t xml:space="preserve">. </w:t>
      </w:r>
      <w:r w:rsidR="00694C62" w:rsidRPr="00694C62">
        <w:rPr>
          <w:b/>
          <w:lang w:val="es-HN"/>
        </w:rPr>
        <w:t xml:space="preserve">Destino del gasto en Tuberculosis por </w:t>
      </w:r>
      <w:r w:rsidR="00C85828">
        <w:rPr>
          <w:b/>
          <w:lang w:val="es-HN"/>
        </w:rPr>
        <w:t>Grupos Meta Nicaragua, 2014-2017</w:t>
      </w:r>
      <w:r w:rsidR="00694C62" w:rsidRPr="00694C62">
        <w:rPr>
          <w:b/>
          <w:lang w:val="es-HN"/>
        </w:rPr>
        <w:t xml:space="preserve"> cifras en millones US$ Dólares</w:t>
      </w:r>
    </w:p>
    <w:tbl>
      <w:tblPr>
        <w:tblW w:w="9501" w:type="dxa"/>
        <w:tblInd w:w="-25" w:type="dxa"/>
        <w:tblLayout w:type="fixed"/>
        <w:tblCellMar>
          <w:left w:w="70" w:type="dxa"/>
          <w:right w:w="70" w:type="dxa"/>
        </w:tblCellMar>
        <w:tblLook w:val="04A0" w:firstRow="1" w:lastRow="0" w:firstColumn="1" w:lastColumn="0" w:noHBand="0" w:noVBand="1"/>
      </w:tblPr>
      <w:tblGrid>
        <w:gridCol w:w="2137"/>
        <w:gridCol w:w="1200"/>
        <w:gridCol w:w="596"/>
        <w:gridCol w:w="1200"/>
        <w:gridCol w:w="552"/>
        <w:gridCol w:w="1244"/>
        <w:gridCol w:w="596"/>
        <w:gridCol w:w="1380"/>
        <w:gridCol w:w="596"/>
      </w:tblGrid>
      <w:tr w:rsidR="00C85828" w:rsidRPr="00C85828" w:rsidTr="00C85828">
        <w:trPr>
          <w:trHeight w:val="300"/>
        </w:trPr>
        <w:tc>
          <w:tcPr>
            <w:tcW w:w="2137" w:type="dxa"/>
            <w:tcBorders>
              <w:top w:val="single" w:sz="8" w:space="0" w:color="2E74B5"/>
              <w:left w:val="single" w:sz="8" w:space="0" w:color="2E74B5"/>
              <w:bottom w:val="nil"/>
              <w:right w:val="single" w:sz="8" w:space="0" w:color="2E74B5"/>
            </w:tcBorders>
            <w:shd w:val="clear" w:color="000000" w:fill="5B9BD5"/>
            <w:vAlign w:val="center"/>
            <w:hideMark/>
          </w:tcPr>
          <w:p w:rsidR="00C85828" w:rsidRPr="00C85828" w:rsidRDefault="00C85828" w:rsidP="00C85828">
            <w:pPr>
              <w:spacing w:before="0" w:beforeAutospacing="0" w:after="0" w:afterAutospacing="0" w:line="240" w:lineRule="auto"/>
              <w:jc w:val="left"/>
              <w:rPr>
                <w:rFonts w:ascii="Calibri" w:eastAsia="Times New Roman" w:hAnsi="Calibri" w:cs="Calibri"/>
                <w:b/>
                <w:bCs/>
                <w:color w:val="000000"/>
                <w:sz w:val="16"/>
                <w:szCs w:val="16"/>
                <w:lang w:val="es-NI" w:eastAsia="es-NI"/>
              </w:rPr>
            </w:pPr>
            <w:r w:rsidRPr="00C85828">
              <w:rPr>
                <w:rFonts w:ascii="Calibri" w:eastAsia="Times New Roman" w:hAnsi="Calibri" w:cs="Calibri"/>
                <w:b/>
                <w:bCs/>
                <w:color w:val="000000"/>
                <w:sz w:val="16"/>
                <w:szCs w:val="16"/>
                <w:lang w:eastAsia="es-NI"/>
              </w:rPr>
              <w:t>Población Beneficiada</w:t>
            </w:r>
          </w:p>
        </w:tc>
        <w:tc>
          <w:tcPr>
            <w:tcW w:w="1200" w:type="dxa"/>
            <w:tcBorders>
              <w:top w:val="single" w:sz="8" w:space="0" w:color="2E74B5"/>
              <w:left w:val="nil"/>
              <w:bottom w:val="nil"/>
              <w:right w:val="single" w:sz="8" w:space="0" w:color="2E74B5"/>
            </w:tcBorders>
            <w:shd w:val="clear" w:color="000000" w:fill="5B9BD5"/>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b/>
                <w:bCs/>
                <w:color w:val="000000"/>
                <w:sz w:val="16"/>
                <w:szCs w:val="16"/>
                <w:lang w:val="es-NI" w:eastAsia="es-NI"/>
              </w:rPr>
            </w:pPr>
            <w:r w:rsidRPr="00C85828">
              <w:rPr>
                <w:rFonts w:ascii="Calibri" w:eastAsia="Times New Roman" w:hAnsi="Calibri" w:cs="Calibri"/>
                <w:b/>
                <w:bCs/>
                <w:color w:val="000000"/>
                <w:sz w:val="16"/>
                <w:szCs w:val="16"/>
                <w:lang w:eastAsia="es-NI"/>
              </w:rPr>
              <w:t>2014</w:t>
            </w:r>
          </w:p>
        </w:tc>
        <w:tc>
          <w:tcPr>
            <w:tcW w:w="596" w:type="dxa"/>
            <w:tcBorders>
              <w:top w:val="single" w:sz="8" w:space="0" w:color="2E74B5"/>
              <w:left w:val="nil"/>
              <w:bottom w:val="nil"/>
              <w:right w:val="single" w:sz="8" w:space="0" w:color="2E74B5"/>
            </w:tcBorders>
            <w:shd w:val="clear" w:color="000000" w:fill="5B9BD5"/>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b/>
                <w:bCs/>
                <w:color w:val="000000"/>
                <w:sz w:val="16"/>
                <w:szCs w:val="16"/>
                <w:lang w:val="es-NI" w:eastAsia="es-NI"/>
              </w:rPr>
            </w:pPr>
            <w:r w:rsidRPr="00C85828">
              <w:rPr>
                <w:rFonts w:ascii="Calibri" w:eastAsia="Times New Roman" w:hAnsi="Calibri" w:cs="Calibri"/>
                <w:b/>
                <w:bCs/>
                <w:color w:val="000000"/>
                <w:sz w:val="16"/>
                <w:szCs w:val="16"/>
                <w:lang w:eastAsia="es-NI"/>
              </w:rPr>
              <w:t>%</w:t>
            </w:r>
          </w:p>
        </w:tc>
        <w:tc>
          <w:tcPr>
            <w:tcW w:w="1200" w:type="dxa"/>
            <w:tcBorders>
              <w:top w:val="single" w:sz="8" w:space="0" w:color="2E74B5"/>
              <w:left w:val="nil"/>
              <w:bottom w:val="nil"/>
              <w:right w:val="single" w:sz="8" w:space="0" w:color="2E74B5"/>
            </w:tcBorders>
            <w:shd w:val="clear" w:color="000000" w:fill="5B9BD5"/>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b/>
                <w:bCs/>
                <w:color w:val="000000"/>
                <w:sz w:val="16"/>
                <w:szCs w:val="16"/>
                <w:lang w:val="es-NI" w:eastAsia="es-NI"/>
              </w:rPr>
            </w:pPr>
            <w:r w:rsidRPr="00C85828">
              <w:rPr>
                <w:rFonts w:ascii="Calibri" w:eastAsia="Times New Roman" w:hAnsi="Calibri" w:cs="Calibri"/>
                <w:b/>
                <w:bCs/>
                <w:color w:val="000000"/>
                <w:sz w:val="16"/>
                <w:szCs w:val="16"/>
                <w:lang w:eastAsia="es-NI"/>
              </w:rPr>
              <w:t>2015</w:t>
            </w:r>
          </w:p>
        </w:tc>
        <w:tc>
          <w:tcPr>
            <w:tcW w:w="552" w:type="dxa"/>
            <w:tcBorders>
              <w:top w:val="single" w:sz="8" w:space="0" w:color="2E74B5"/>
              <w:left w:val="nil"/>
              <w:bottom w:val="nil"/>
              <w:right w:val="single" w:sz="8" w:space="0" w:color="2E74B5"/>
            </w:tcBorders>
            <w:shd w:val="clear" w:color="000000" w:fill="5B9BD5"/>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b/>
                <w:bCs/>
                <w:color w:val="000000"/>
                <w:sz w:val="16"/>
                <w:szCs w:val="16"/>
                <w:lang w:val="es-NI" w:eastAsia="es-NI"/>
              </w:rPr>
            </w:pPr>
            <w:r w:rsidRPr="00C85828">
              <w:rPr>
                <w:rFonts w:ascii="Calibri" w:eastAsia="Times New Roman" w:hAnsi="Calibri" w:cs="Calibri"/>
                <w:b/>
                <w:bCs/>
                <w:color w:val="000000"/>
                <w:sz w:val="16"/>
                <w:szCs w:val="16"/>
                <w:lang w:eastAsia="es-NI"/>
              </w:rPr>
              <w:t>%</w:t>
            </w:r>
          </w:p>
        </w:tc>
        <w:tc>
          <w:tcPr>
            <w:tcW w:w="1244" w:type="dxa"/>
            <w:tcBorders>
              <w:top w:val="single" w:sz="8" w:space="0" w:color="2E74B5"/>
              <w:left w:val="nil"/>
              <w:bottom w:val="nil"/>
              <w:right w:val="single" w:sz="8" w:space="0" w:color="2E74B5"/>
            </w:tcBorders>
            <w:shd w:val="clear" w:color="000000" w:fill="5B9BD5"/>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b/>
                <w:bCs/>
                <w:color w:val="000000"/>
                <w:sz w:val="16"/>
                <w:szCs w:val="16"/>
                <w:lang w:val="es-NI" w:eastAsia="es-NI"/>
              </w:rPr>
            </w:pPr>
            <w:r w:rsidRPr="00C85828">
              <w:rPr>
                <w:rFonts w:ascii="Calibri" w:eastAsia="Times New Roman" w:hAnsi="Calibri" w:cs="Calibri"/>
                <w:b/>
                <w:bCs/>
                <w:color w:val="000000"/>
                <w:sz w:val="16"/>
                <w:szCs w:val="16"/>
                <w:lang w:eastAsia="es-NI"/>
              </w:rPr>
              <w:t>2016</w:t>
            </w:r>
          </w:p>
        </w:tc>
        <w:tc>
          <w:tcPr>
            <w:tcW w:w="596" w:type="dxa"/>
            <w:tcBorders>
              <w:top w:val="single" w:sz="8" w:space="0" w:color="2E74B5"/>
              <w:left w:val="nil"/>
              <w:bottom w:val="nil"/>
              <w:right w:val="single" w:sz="8" w:space="0" w:color="2E74B5"/>
            </w:tcBorders>
            <w:shd w:val="clear" w:color="000000" w:fill="5B9BD5"/>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b/>
                <w:bCs/>
                <w:color w:val="000000"/>
                <w:sz w:val="16"/>
                <w:szCs w:val="16"/>
                <w:lang w:val="es-NI" w:eastAsia="es-NI"/>
              </w:rPr>
            </w:pPr>
            <w:r w:rsidRPr="00C85828">
              <w:rPr>
                <w:rFonts w:ascii="Calibri" w:eastAsia="Times New Roman" w:hAnsi="Calibri" w:cs="Calibri"/>
                <w:b/>
                <w:bCs/>
                <w:color w:val="000000"/>
                <w:sz w:val="16"/>
                <w:szCs w:val="16"/>
                <w:lang w:eastAsia="es-NI"/>
              </w:rPr>
              <w:t>%</w:t>
            </w:r>
          </w:p>
        </w:tc>
        <w:tc>
          <w:tcPr>
            <w:tcW w:w="1380" w:type="dxa"/>
            <w:tcBorders>
              <w:top w:val="single" w:sz="8" w:space="0" w:color="2E74B5"/>
              <w:left w:val="nil"/>
              <w:bottom w:val="nil"/>
              <w:right w:val="single" w:sz="8" w:space="0" w:color="2E74B5"/>
            </w:tcBorders>
            <w:shd w:val="clear" w:color="000000" w:fill="5B9BD5"/>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b/>
                <w:bCs/>
                <w:color w:val="000000"/>
                <w:sz w:val="16"/>
                <w:szCs w:val="16"/>
                <w:lang w:val="es-NI" w:eastAsia="es-NI"/>
              </w:rPr>
            </w:pPr>
            <w:r w:rsidRPr="00C85828">
              <w:rPr>
                <w:rFonts w:ascii="Calibri" w:eastAsia="Times New Roman" w:hAnsi="Calibri" w:cs="Calibri"/>
                <w:b/>
                <w:bCs/>
                <w:color w:val="000000"/>
                <w:sz w:val="16"/>
                <w:szCs w:val="16"/>
                <w:lang w:eastAsia="es-NI"/>
              </w:rPr>
              <w:t>2017</w:t>
            </w:r>
          </w:p>
        </w:tc>
        <w:tc>
          <w:tcPr>
            <w:tcW w:w="596" w:type="dxa"/>
            <w:tcBorders>
              <w:top w:val="single" w:sz="8" w:space="0" w:color="2E74B5"/>
              <w:left w:val="nil"/>
              <w:bottom w:val="nil"/>
              <w:right w:val="single" w:sz="8" w:space="0" w:color="2E74B5"/>
            </w:tcBorders>
            <w:shd w:val="clear" w:color="000000" w:fill="5B9BD5"/>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b/>
                <w:bCs/>
                <w:color w:val="000000"/>
                <w:sz w:val="16"/>
                <w:szCs w:val="16"/>
                <w:lang w:val="es-NI" w:eastAsia="es-NI"/>
              </w:rPr>
            </w:pPr>
            <w:r w:rsidRPr="00C85828">
              <w:rPr>
                <w:rFonts w:ascii="Calibri" w:eastAsia="Times New Roman" w:hAnsi="Calibri" w:cs="Calibri"/>
                <w:b/>
                <w:bCs/>
                <w:color w:val="000000"/>
                <w:sz w:val="16"/>
                <w:szCs w:val="16"/>
                <w:lang w:eastAsia="es-NI"/>
              </w:rPr>
              <w:t>%</w:t>
            </w:r>
          </w:p>
        </w:tc>
      </w:tr>
      <w:tr w:rsidR="00C85828" w:rsidRPr="00C85828" w:rsidTr="00C85828">
        <w:trPr>
          <w:trHeight w:val="510"/>
        </w:trPr>
        <w:tc>
          <w:tcPr>
            <w:tcW w:w="2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left"/>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Adictos al tabaco, alcohol y drogas</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85,264</w:t>
            </w:r>
          </w:p>
        </w:tc>
        <w:tc>
          <w:tcPr>
            <w:tcW w:w="596" w:type="dxa"/>
            <w:tcBorders>
              <w:top w:val="single" w:sz="4" w:space="0" w:color="auto"/>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eastAsia="es-NI"/>
              </w:rPr>
              <w:t>2.4</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124,429</w:t>
            </w:r>
          </w:p>
        </w:tc>
        <w:tc>
          <w:tcPr>
            <w:tcW w:w="552" w:type="dxa"/>
            <w:tcBorders>
              <w:top w:val="single" w:sz="4" w:space="0" w:color="auto"/>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eastAsia="es-NI"/>
              </w:rPr>
              <w:t>2.8</w:t>
            </w:r>
          </w:p>
        </w:tc>
        <w:tc>
          <w:tcPr>
            <w:tcW w:w="1244" w:type="dxa"/>
            <w:tcBorders>
              <w:top w:val="single" w:sz="4" w:space="0" w:color="auto"/>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157,841</w:t>
            </w:r>
          </w:p>
        </w:tc>
        <w:tc>
          <w:tcPr>
            <w:tcW w:w="596" w:type="dxa"/>
            <w:tcBorders>
              <w:top w:val="single" w:sz="4" w:space="0" w:color="auto"/>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eastAsia="es-NI"/>
              </w:rPr>
              <w:t>3.4</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157,658</w:t>
            </w:r>
          </w:p>
        </w:tc>
        <w:tc>
          <w:tcPr>
            <w:tcW w:w="596" w:type="dxa"/>
            <w:tcBorders>
              <w:top w:val="single" w:sz="4" w:space="0" w:color="auto"/>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eastAsia="es-NI"/>
              </w:rPr>
              <w:t>2.9</w:t>
            </w:r>
          </w:p>
        </w:tc>
      </w:tr>
      <w:tr w:rsidR="00C85828" w:rsidRPr="00C85828" w:rsidTr="00C85828">
        <w:trPr>
          <w:trHeight w:val="510"/>
        </w:trPr>
        <w:tc>
          <w:tcPr>
            <w:tcW w:w="2137" w:type="dxa"/>
            <w:tcBorders>
              <w:top w:val="nil"/>
              <w:left w:val="single" w:sz="4" w:space="0" w:color="auto"/>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left"/>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Indígenas de la Costa Caribe</w:t>
            </w:r>
          </w:p>
        </w:tc>
        <w:tc>
          <w:tcPr>
            <w:tcW w:w="1200" w:type="dxa"/>
            <w:tcBorders>
              <w:top w:val="nil"/>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22,442</w:t>
            </w:r>
          </w:p>
        </w:tc>
        <w:tc>
          <w:tcPr>
            <w:tcW w:w="596"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eastAsia="es-NI"/>
              </w:rPr>
              <w:t>0.6</w:t>
            </w:r>
          </w:p>
        </w:tc>
        <w:tc>
          <w:tcPr>
            <w:tcW w:w="1200" w:type="dxa"/>
            <w:tcBorders>
              <w:top w:val="nil"/>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43,342</w:t>
            </w:r>
          </w:p>
        </w:tc>
        <w:tc>
          <w:tcPr>
            <w:tcW w:w="552"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1.0</w:t>
            </w:r>
          </w:p>
        </w:tc>
        <w:tc>
          <w:tcPr>
            <w:tcW w:w="1244" w:type="dxa"/>
            <w:tcBorders>
              <w:top w:val="nil"/>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11,446</w:t>
            </w:r>
          </w:p>
        </w:tc>
        <w:tc>
          <w:tcPr>
            <w:tcW w:w="596"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eastAsia="es-NI"/>
              </w:rPr>
              <w:t>0.2</w:t>
            </w:r>
          </w:p>
        </w:tc>
        <w:tc>
          <w:tcPr>
            <w:tcW w:w="1380" w:type="dxa"/>
            <w:tcBorders>
              <w:top w:val="nil"/>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82,792</w:t>
            </w:r>
          </w:p>
        </w:tc>
        <w:tc>
          <w:tcPr>
            <w:tcW w:w="596"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1.5</w:t>
            </w:r>
          </w:p>
        </w:tc>
      </w:tr>
      <w:tr w:rsidR="00C85828" w:rsidRPr="00C85828" w:rsidTr="00C85828">
        <w:trPr>
          <w:trHeight w:val="510"/>
        </w:trPr>
        <w:tc>
          <w:tcPr>
            <w:tcW w:w="2137" w:type="dxa"/>
            <w:tcBorders>
              <w:top w:val="nil"/>
              <w:left w:val="single" w:sz="4" w:space="0" w:color="auto"/>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left"/>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Intervenciones no dirigidas</w:t>
            </w:r>
          </w:p>
        </w:tc>
        <w:tc>
          <w:tcPr>
            <w:tcW w:w="1200" w:type="dxa"/>
            <w:tcBorders>
              <w:top w:val="nil"/>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861,223</w:t>
            </w:r>
          </w:p>
        </w:tc>
        <w:tc>
          <w:tcPr>
            <w:tcW w:w="596"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24.3</w:t>
            </w:r>
          </w:p>
        </w:tc>
        <w:tc>
          <w:tcPr>
            <w:tcW w:w="1200" w:type="dxa"/>
            <w:tcBorders>
              <w:top w:val="nil"/>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704,127</w:t>
            </w:r>
          </w:p>
        </w:tc>
        <w:tc>
          <w:tcPr>
            <w:tcW w:w="552"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16.1</w:t>
            </w:r>
          </w:p>
        </w:tc>
        <w:tc>
          <w:tcPr>
            <w:tcW w:w="1244" w:type="dxa"/>
            <w:tcBorders>
              <w:top w:val="nil"/>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1,611,675</w:t>
            </w:r>
          </w:p>
        </w:tc>
        <w:tc>
          <w:tcPr>
            <w:tcW w:w="596"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34.9</w:t>
            </w:r>
          </w:p>
        </w:tc>
        <w:tc>
          <w:tcPr>
            <w:tcW w:w="1380" w:type="dxa"/>
            <w:tcBorders>
              <w:top w:val="nil"/>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1,610,266</w:t>
            </w:r>
          </w:p>
        </w:tc>
        <w:tc>
          <w:tcPr>
            <w:tcW w:w="596"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29.8</w:t>
            </w:r>
          </w:p>
        </w:tc>
      </w:tr>
      <w:tr w:rsidR="00C85828" w:rsidRPr="00C85828" w:rsidTr="00C85828">
        <w:trPr>
          <w:trHeight w:val="510"/>
        </w:trPr>
        <w:tc>
          <w:tcPr>
            <w:tcW w:w="2137" w:type="dxa"/>
            <w:tcBorders>
              <w:top w:val="nil"/>
              <w:left w:val="single" w:sz="4" w:space="0" w:color="auto"/>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left"/>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Mujeres, niños  y niñas de aéreas marginales</w:t>
            </w:r>
          </w:p>
        </w:tc>
        <w:tc>
          <w:tcPr>
            <w:tcW w:w="1200" w:type="dxa"/>
            <w:tcBorders>
              <w:top w:val="nil"/>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103,898</w:t>
            </w:r>
          </w:p>
        </w:tc>
        <w:tc>
          <w:tcPr>
            <w:tcW w:w="596"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2.9</w:t>
            </w:r>
          </w:p>
        </w:tc>
        <w:tc>
          <w:tcPr>
            <w:tcW w:w="1200" w:type="dxa"/>
            <w:tcBorders>
              <w:top w:val="nil"/>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200,361</w:t>
            </w:r>
          </w:p>
        </w:tc>
        <w:tc>
          <w:tcPr>
            <w:tcW w:w="552"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4.6</w:t>
            </w:r>
          </w:p>
        </w:tc>
        <w:tc>
          <w:tcPr>
            <w:tcW w:w="1244" w:type="dxa"/>
            <w:tcBorders>
              <w:top w:val="nil"/>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61,741</w:t>
            </w:r>
          </w:p>
        </w:tc>
        <w:tc>
          <w:tcPr>
            <w:tcW w:w="596"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1.3</w:t>
            </w:r>
          </w:p>
        </w:tc>
        <w:tc>
          <w:tcPr>
            <w:tcW w:w="1380" w:type="dxa"/>
            <w:tcBorders>
              <w:top w:val="nil"/>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235,225</w:t>
            </w:r>
          </w:p>
        </w:tc>
        <w:tc>
          <w:tcPr>
            <w:tcW w:w="596"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4.4</w:t>
            </w:r>
          </w:p>
        </w:tc>
      </w:tr>
      <w:tr w:rsidR="00C85828" w:rsidRPr="00C85828" w:rsidTr="00C85828">
        <w:trPr>
          <w:trHeight w:val="510"/>
        </w:trPr>
        <w:tc>
          <w:tcPr>
            <w:tcW w:w="2137" w:type="dxa"/>
            <w:tcBorders>
              <w:top w:val="nil"/>
              <w:left w:val="single" w:sz="4" w:space="0" w:color="auto"/>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left"/>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 xml:space="preserve">Niños y niñas en contacto con personas con TB  </w:t>
            </w:r>
          </w:p>
        </w:tc>
        <w:tc>
          <w:tcPr>
            <w:tcW w:w="1200" w:type="dxa"/>
            <w:tcBorders>
              <w:top w:val="nil"/>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3,009</w:t>
            </w:r>
          </w:p>
        </w:tc>
        <w:tc>
          <w:tcPr>
            <w:tcW w:w="596"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0.1</w:t>
            </w:r>
          </w:p>
        </w:tc>
        <w:tc>
          <w:tcPr>
            <w:tcW w:w="1200" w:type="dxa"/>
            <w:tcBorders>
              <w:top w:val="nil"/>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2,017</w:t>
            </w:r>
          </w:p>
        </w:tc>
        <w:tc>
          <w:tcPr>
            <w:tcW w:w="552"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0.0</w:t>
            </w:r>
          </w:p>
        </w:tc>
        <w:tc>
          <w:tcPr>
            <w:tcW w:w="1244" w:type="dxa"/>
            <w:tcBorders>
              <w:top w:val="nil"/>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1,669</w:t>
            </w:r>
          </w:p>
        </w:tc>
        <w:tc>
          <w:tcPr>
            <w:tcW w:w="596"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0.0</w:t>
            </w:r>
          </w:p>
        </w:tc>
        <w:tc>
          <w:tcPr>
            <w:tcW w:w="1380" w:type="dxa"/>
            <w:tcBorders>
              <w:top w:val="nil"/>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177,615</w:t>
            </w:r>
          </w:p>
        </w:tc>
        <w:tc>
          <w:tcPr>
            <w:tcW w:w="596"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3.3</w:t>
            </w:r>
          </w:p>
        </w:tc>
      </w:tr>
      <w:tr w:rsidR="00C85828" w:rsidRPr="00C85828" w:rsidTr="00C85828">
        <w:trPr>
          <w:trHeight w:val="510"/>
        </w:trPr>
        <w:tc>
          <w:tcPr>
            <w:tcW w:w="2137" w:type="dxa"/>
            <w:tcBorders>
              <w:top w:val="nil"/>
              <w:left w:val="single" w:sz="4" w:space="0" w:color="auto"/>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left"/>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Pacientes Uniformados con TB</w:t>
            </w:r>
          </w:p>
        </w:tc>
        <w:tc>
          <w:tcPr>
            <w:tcW w:w="1200" w:type="dxa"/>
            <w:tcBorders>
              <w:top w:val="nil"/>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312</w:t>
            </w:r>
          </w:p>
        </w:tc>
        <w:tc>
          <w:tcPr>
            <w:tcW w:w="596"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0.0</w:t>
            </w:r>
          </w:p>
        </w:tc>
        <w:tc>
          <w:tcPr>
            <w:tcW w:w="1200" w:type="dxa"/>
            <w:tcBorders>
              <w:top w:val="nil"/>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312</w:t>
            </w:r>
          </w:p>
        </w:tc>
        <w:tc>
          <w:tcPr>
            <w:tcW w:w="552"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0.0</w:t>
            </w:r>
          </w:p>
        </w:tc>
        <w:tc>
          <w:tcPr>
            <w:tcW w:w="1244" w:type="dxa"/>
            <w:tcBorders>
              <w:top w:val="nil"/>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159</w:t>
            </w:r>
          </w:p>
        </w:tc>
        <w:tc>
          <w:tcPr>
            <w:tcW w:w="596"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0.0</w:t>
            </w:r>
          </w:p>
        </w:tc>
        <w:tc>
          <w:tcPr>
            <w:tcW w:w="1380" w:type="dxa"/>
            <w:tcBorders>
              <w:top w:val="nil"/>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173</w:t>
            </w:r>
          </w:p>
        </w:tc>
        <w:tc>
          <w:tcPr>
            <w:tcW w:w="596"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0.0</w:t>
            </w:r>
          </w:p>
        </w:tc>
      </w:tr>
      <w:tr w:rsidR="00C85828" w:rsidRPr="00C85828" w:rsidTr="00C85828">
        <w:trPr>
          <w:trHeight w:val="300"/>
        </w:trPr>
        <w:tc>
          <w:tcPr>
            <w:tcW w:w="2137" w:type="dxa"/>
            <w:tcBorders>
              <w:top w:val="nil"/>
              <w:left w:val="single" w:sz="4" w:space="0" w:color="auto"/>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left"/>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Personas con diabetes</w:t>
            </w:r>
          </w:p>
        </w:tc>
        <w:tc>
          <w:tcPr>
            <w:tcW w:w="1200" w:type="dxa"/>
            <w:tcBorders>
              <w:top w:val="nil"/>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151,912</w:t>
            </w:r>
          </w:p>
        </w:tc>
        <w:tc>
          <w:tcPr>
            <w:tcW w:w="596"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4.3</w:t>
            </w:r>
          </w:p>
        </w:tc>
        <w:tc>
          <w:tcPr>
            <w:tcW w:w="1200" w:type="dxa"/>
            <w:tcBorders>
              <w:top w:val="nil"/>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293,389</w:t>
            </w:r>
          </w:p>
        </w:tc>
        <w:tc>
          <w:tcPr>
            <w:tcW w:w="552"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6.7</w:t>
            </w:r>
          </w:p>
        </w:tc>
        <w:tc>
          <w:tcPr>
            <w:tcW w:w="1244" w:type="dxa"/>
            <w:tcBorders>
              <w:top w:val="nil"/>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77,482</w:t>
            </w:r>
          </w:p>
        </w:tc>
        <w:tc>
          <w:tcPr>
            <w:tcW w:w="596"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1.7</w:t>
            </w:r>
          </w:p>
        </w:tc>
        <w:tc>
          <w:tcPr>
            <w:tcW w:w="1380" w:type="dxa"/>
            <w:tcBorders>
              <w:top w:val="nil"/>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84,171</w:t>
            </w:r>
          </w:p>
        </w:tc>
        <w:tc>
          <w:tcPr>
            <w:tcW w:w="596"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1.6</w:t>
            </w:r>
          </w:p>
        </w:tc>
      </w:tr>
      <w:tr w:rsidR="00C85828" w:rsidRPr="00C85828" w:rsidTr="00C85828">
        <w:trPr>
          <w:trHeight w:val="300"/>
        </w:trPr>
        <w:tc>
          <w:tcPr>
            <w:tcW w:w="2137" w:type="dxa"/>
            <w:tcBorders>
              <w:top w:val="nil"/>
              <w:left w:val="single" w:sz="4" w:space="0" w:color="auto"/>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left"/>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 xml:space="preserve">Personas con TB </w:t>
            </w:r>
          </w:p>
        </w:tc>
        <w:tc>
          <w:tcPr>
            <w:tcW w:w="1200" w:type="dxa"/>
            <w:tcBorders>
              <w:top w:val="nil"/>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793,690</w:t>
            </w:r>
          </w:p>
        </w:tc>
        <w:tc>
          <w:tcPr>
            <w:tcW w:w="596"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22.4</w:t>
            </w:r>
          </w:p>
        </w:tc>
        <w:tc>
          <w:tcPr>
            <w:tcW w:w="1200" w:type="dxa"/>
            <w:tcBorders>
              <w:top w:val="nil"/>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818,879</w:t>
            </w:r>
          </w:p>
        </w:tc>
        <w:tc>
          <w:tcPr>
            <w:tcW w:w="552"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18.7</w:t>
            </w:r>
          </w:p>
        </w:tc>
        <w:tc>
          <w:tcPr>
            <w:tcW w:w="1244" w:type="dxa"/>
            <w:tcBorders>
              <w:top w:val="nil"/>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1,240,061</w:t>
            </w:r>
          </w:p>
        </w:tc>
        <w:tc>
          <w:tcPr>
            <w:tcW w:w="596"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26.9</w:t>
            </w:r>
          </w:p>
        </w:tc>
        <w:tc>
          <w:tcPr>
            <w:tcW w:w="1380" w:type="dxa"/>
            <w:tcBorders>
              <w:top w:val="nil"/>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1,471,184</w:t>
            </w:r>
          </w:p>
        </w:tc>
        <w:tc>
          <w:tcPr>
            <w:tcW w:w="596"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27.3</w:t>
            </w:r>
          </w:p>
        </w:tc>
      </w:tr>
      <w:tr w:rsidR="00C85828" w:rsidRPr="00C85828" w:rsidTr="00C85828">
        <w:trPr>
          <w:trHeight w:val="300"/>
        </w:trPr>
        <w:tc>
          <w:tcPr>
            <w:tcW w:w="2137" w:type="dxa"/>
            <w:tcBorders>
              <w:top w:val="nil"/>
              <w:left w:val="single" w:sz="4" w:space="0" w:color="auto"/>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left"/>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 xml:space="preserve">Personas con VIH </w:t>
            </w:r>
          </w:p>
        </w:tc>
        <w:tc>
          <w:tcPr>
            <w:tcW w:w="1200" w:type="dxa"/>
            <w:tcBorders>
              <w:top w:val="nil"/>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99,273</w:t>
            </w:r>
          </w:p>
        </w:tc>
        <w:tc>
          <w:tcPr>
            <w:tcW w:w="596"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2.8</w:t>
            </w:r>
          </w:p>
        </w:tc>
        <w:tc>
          <w:tcPr>
            <w:tcW w:w="1200" w:type="dxa"/>
            <w:tcBorders>
              <w:top w:val="nil"/>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171,068</w:t>
            </w:r>
          </w:p>
        </w:tc>
        <w:tc>
          <w:tcPr>
            <w:tcW w:w="552"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3.9</w:t>
            </w:r>
          </w:p>
        </w:tc>
        <w:tc>
          <w:tcPr>
            <w:tcW w:w="1244" w:type="dxa"/>
            <w:tcBorders>
              <w:top w:val="nil"/>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65,220</w:t>
            </w:r>
          </w:p>
        </w:tc>
        <w:tc>
          <w:tcPr>
            <w:tcW w:w="596"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1.4</w:t>
            </w:r>
          </w:p>
        </w:tc>
        <w:tc>
          <w:tcPr>
            <w:tcW w:w="1380" w:type="dxa"/>
            <w:tcBorders>
              <w:top w:val="nil"/>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110,823</w:t>
            </w:r>
          </w:p>
        </w:tc>
        <w:tc>
          <w:tcPr>
            <w:tcW w:w="596"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2.1</w:t>
            </w:r>
          </w:p>
        </w:tc>
      </w:tr>
      <w:tr w:rsidR="00C85828" w:rsidRPr="00C85828" w:rsidTr="00C85828">
        <w:trPr>
          <w:trHeight w:val="510"/>
        </w:trPr>
        <w:tc>
          <w:tcPr>
            <w:tcW w:w="2137" w:type="dxa"/>
            <w:tcBorders>
              <w:top w:val="nil"/>
              <w:left w:val="single" w:sz="4" w:space="0" w:color="auto"/>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left"/>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Personas mayores de 65 años</w:t>
            </w:r>
          </w:p>
        </w:tc>
        <w:tc>
          <w:tcPr>
            <w:tcW w:w="1200" w:type="dxa"/>
            <w:tcBorders>
              <w:top w:val="nil"/>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28,432</w:t>
            </w:r>
          </w:p>
        </w:tc>
        <w:tc>
          <w:tcPr>
            <w:tcW w:w="596"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0.8</w:t>
            </w:r>
          </w:p>
        </w:tc>
        <w:tc>
          <w:tcPr>
            <w:tcW w:w="1200" w:type="dxa"/>
            <w:tcBorders>
              <w:top w:val="nil"/>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48,232</w:t>
            </w:r>
          </w:p>
        </w:tc>
        <w:tc>
          <w:tcPr>
            <w:tcW w:w="552"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1.1</w:t>
            </w:r>
          </w:p>
        </w:tc>
        <w:tc>
          <w:tcPr>
            <w:tcW w:w="1244" w:type="dxa"/>
            <w:tcBorders>
              <w:top w:val="nil"/>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146,180</w:t>
            </w:r>
          </w:p>
        </w:tc>
        <w:tc>
          <w:tcPr>
            <w:tcW w:w="596"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3.2</w:t>
            </w:r>
          </w:p>
        </w:tc>
        <w:tc>
          <w:tcPr>
            <w:tcW w:w="1380" w:type="dxa"/>
            <w:tcBorders>
              <w:top w:val="nil"/>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196,960</w:t>
            </w:r>
          </w:p>
        </w:tc>
        <w:tc>
          <w:tcPr>
            <w:tcW w:w="596"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3.6</w:t>
            </w:r>
          </w:p>
        </w:tc>
      </w:tr>
      <w:tr w:rsidR="00C85828" w:rsidRPr="00C85828" w:rsidTr="00C85828">
        <w:trPr>
          <w:trHeight w:val="1018"/>
        </w:trPr>
        <w:tc>
          <w:tcPr>
            <w:tcW w:w="2137" w:type="dxa"/>
            <w:tcBorders>
              <w:top w:val="nil"/>
              <w:left w:val="single" w:sz="4" w:space="0" w:color="auto"/>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left"/>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Personas  en  centros  de  mayor  concentración  con  exposición  a  riesgo  de  TB (mercados, Zonas francas, trabajadores de salud)</w:t>
            </w:r>
          </w:p>
        </w:tc>
        <w:tc>
          <w:tcPr>
            <w:tcW w:w="1200" w:type="dxa"/>
            <w:tcBorders>
              <w:top w:val="nil"/>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132,884</w:t>
            </w:r>
          </w:p>
        </w:tc>
        <w:tc>
          <w:tcPr>
            <w:tcW w:w="596"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3.8</w:t>
            </w:r>
          </w:p>
        </w:tc>
        <w:tc>
          <w:tcPr>
            <w:tcW w:w="1200" w:type="dxa"/>
            <w:tcBorders>
              <w:top w:val="nil"/>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193,453</w:t>
            </w:r>
          </w:p>
        </w:tc>
        <w:tc>
          <w:tcPr>
            <w:tcW w:w="552"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4.4</w:t>
            </w:r>
          </w:p>
        </w:tc>
        <w:tc>
          <w:tcPr>
            <w:tcW w:w="1244" w:type="dxa"/>
            <w:tcBorders>
              <w:top w:val="nil"/>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108,308</w:t>
            </w:r>
          </w:p>
        </w:tc>
        <w:tc>
          <w:tcPr>
            <w:tcW w:w="596"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2.3</w:t>
            </w:r>
          </w:p>
        </w:tc>
        <w:tc>
          <w:tcPr>
            <w:tcW w:w="1380" w:type="dxa"/>
            <w:tcBorders>
              <w:top w:val="nil"/>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261,274</w:t>
            </w:r>
          </w:p>
        </w:tc>
        <w:tc>
          <w:tcPr>
            <w:tcW w:w="596"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4.8</w:t>
            </w:r>
          </w:p>
        </w:tc>
      </w:tr>
      <w:tr w:rsidR="00C85828" w:rsidRPr="00C85828" w:rsidTr="00C85828">
        <w:trPr>
          <w:trHeight w:val="300"/>
        </w:trPr>
        <w:tc>
          <w:tcPr>
            <w:tcW w:w="2137" w:type="dxa"/>
            <w:tcBorders>
              <w:top w:val="nil"/>
              <w:left w:val="single" w:sz="4" w:space="0" w:color="auto"/>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left"/>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Población General</w:t>
            </w:r>
          </w:p>
        </w:tc>
        <w:tc>
          <w:tcPr>
            <w:tcW w:w="1200" w:type="dxa"/>
            <w:tcBorders>
              <w:top w:val="nil"/>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1,089,836</w:t>
            </w:r>
          </w:p>
        </w:tc>
        <w:tc>
          <w:tcPr>
            <w:tcW w:w="596"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30.8</w:t>
            </w:r>
          </w:p>
        </w:tc>
        <w:tc>
          <w:tcPr>
            <w:tcW w:w="1200" w:type="dxa"/>
            <w:tcBorders>
              <w:top w:val="nil"/>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1,609,606</w:t>
            </w:r>
          </w:p>
        </w:tc>
        <w:tc>
          <w:tcPr>
            <w:tcW w:w="552"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36.7</w:t>
            </w:r>
          </w:p>
        </w:tc>
        <w:tc>
          <w:tcPr>
            <w:tcW w:w="1244" w:type="dxa"/>
            <w:tcBorders>
              <w:top w:val="nil"/>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832,653</w:t>
            </w:r>
          </w:p>
        </w:tc>
        <w:tc>
          <w:tcPr>
            <w:tcW w:w="596"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18.0</w:t>
            </w:r>
          </w:p>
        </w:tc>
        <w:tc>
          <w:tcPr>
            <w:tcW w:w="1380" w:type="dxa"/>
            <w:tcBorders>
              <w:top w:val="nil"/>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663,478</w:t>
            </w:r>
          </w:p>
        </w:tc>
        <w:tc>
          <w:tcPr>
            <w:tcW w:w="596"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12.3</w:t>
            </w:r>
          </w:p>
        </w:tc>
      </w:tr>
      <w:tr w:rsidR="00C85828" w:rsidRPr="00C85828" w:rsidTr="00C85828">
        <w:trPr>
          <w:trHeight w:val="300"/>
        </w:trPr>
        <w:tc>
          <w:tcPr>
            <w:tcW w:w="2137" w:type="dxa"/>
            <w:tcBorders>
              <w:top w:val="nil"/>
              <w:left w:val="single" w:sz="4" w:space="0" w:color="auto"/>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left"/>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Privados de libertad</w:t>
            </w:r>
          </w:p>
        </w:tc>
        <w:tc>
          <w:tcPr>
            <w:tcW w:w="1200" w:type="dxa"/>
            <w:tcBorders>
              <w:top w:val="nil"/>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169,919</w:t>
            </w:r>
          </w:p>
        </w:tc>
        <w:tc>
          <w:tcPr>
            <w:tcW w:w="596"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4.8</w:t>
            </w:r>
          </w:p>
        </w:tc>
        <w:tc>
          <w:tcPr>
            <w:tcW w:w="1200" w:type="dxa"/>
            <w:tcBorders>
              <w:top w:val="nil"/>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172,766</w:t>
            </w:r>
          </w:p>
        </w:tc>
        <w:tc>
          <w:tcPr>
            <w:tcW w:w="552"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3.9</w:t>
            </w:r>
          </w:p>
        </w:tc>
        <w:tc>
          <w:tcPr>
            <w:tcW w:w="1244" w:type="dxa"/>
            <w:tcBorders>
              <w:top w:val="nil"/>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303,259</w:t>
            </w:r>
          </w:p>
        </w:tc>
        <w:tc>
          <w:tcPr>
            <w:tcW w:w="596"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6.6</w:t>
            </w:r>
          </w:p>
        </w:tc>
        <w:tc>
          <w:tcPr>
            <w:tcW w:w="1380" w:type="dxa"/>
            <w:tcBorders>
              <w:top w:val="nil"/>
              <w:left w:val="nil"/>
              <w:bottom w:val="single" w:sz="4" w:space="0" w:color="auto"/>
              <w:right w:val="single" w:sz="4" w:space="0" w:color="auto"/>
            </w:tcBorders>
            <w:shd w:val="clear" w:color="auto" w:fill="auto"/>
            <w:noWrap/>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346,324</w:t>
            </w:r>
          </w:p>
        </w:tc>
        <w:tc>
          <w:tcPr>
            <w:tcW w:w="596"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val="es-NI" w:eastAsia="es-NI"/>
              </w:rPr>
              <w:t>6.4</w:t>
            </w:r>
          </w:p>
        </w:tc>
      </w:tr>
      <w:tr w:rsidR="00C85828" w:rsidRPr="00C85828" w:rsidTr="00C85828">
        <w:trPr>
          <w:trHeight w:val="300"/>
        </w:trPr>
        <w:tc>
          <w:tcPr>
            <w:tcW w:w="2137" w:type="dxa"/>
            <w:tcBorders>
              <w:top w:val="nil"/>
              <w:left w:val="single" w:sz="4" w:space="0" w:color="auto"/>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left"/>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eastAsia="es-NI"/>
              </w:rPr>
              <w:t>Total general</w:t>
            </w:r>
          </w:p>
        </w:tc>
        <w:tc>
          <w:tcPr>
            <w:tcW w:w="1200"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eastAsia="es-NI"/>
              </w:rPr>
              <w:t>3,542,093</w:t>
            </w:r>
          </w:p>
        </w:tc>
        <w:tc>
          <w:tcPr>
            <w:tcW w:w="596"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eastAsia="es-NI"/>
              </w:rPr>
              <w:t>100.0</w:t>
            </w:r>
          </w:p>
        </w:tc>
        <w:tc>
          <w:tcPr>
            <w:tcW w:w="1200"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eastAsia="es-NI"/>
              </w:rPr>
              <w:t>4,381,980.5</w:t>
            </w:r>
          </w:p>
        </w:tc>
        <w:tc>
          <w:tcPr>
            <w:tcW w:w="552"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eastAsia="es-NI"/>
              </w:rPr>
              <w:t>100.0</w:t>
            </w:r>
          </w:p>
        </w:tc>
        <w:tc>
          <w:tcPr>
            <w:tcW w:w="1244"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eastAsia="es-NI"/>
              </w:rPr>
              <w:t>4,617,697.0</w:t>
            </w:r>
          </w:p>
        </w:tc>
        <w:tc>
          <w:tcPr>
            <w:tcW w:w="596"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eastAsia="es-NI"/>
              </w:rPr>
              <w:t>100.0</w:t>
            </w:r>
          </w:p>
        </w:tc>
        <w:tc>
          <w:tcPr>
            <w:tcW w:w="1380"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eastAsia="es-NI"/>
              </w:rPr>
              <w:t>5,397,943</w:t>
            </w:r>
          </w:p>
        </w:tc>
        <w:tc>
          <w:tcPr>
            <w:tcW w:w="596" w:type="dxa"/>
            <w:tcBorders>
              <w:top w:val="nil"/>
              <w:left w:val="nil"/>
              <w:bottom w:val="single" w:sz="4" w:space="0" w:color="auto"/>
              <w:right w:val="single" w:sz="4" w:space="0" w:color="auto"/>
            </w:tcBorders>
            <w:shd w:val="clear" w:color="auto" w:fill="auto"/>
            <w:vAlign w:val="center"/>
            <w:hideMark/>
          </w:tcPr>
          <w:p w:rsidR="00C85828" w:rsidRPr="00C85828" w:rsidRDefault="00C85828" w:rsidP="00C85828">
            <w:pPr>
              <w:spacing w:before="0" w:beforeAutospacing="0" w:after="0" w:afterAutospacing="0" w:line="240" w:lineRule="auto"/>
              <w:jc w:val="center"/>
              <w:rPr>
                <w:rFonts w:ascii="Calibri" w:eastAsia="Times New Roman" w:hAnsi="Calibri" w:cs="Calibri"/>
                <w:color w:val="000000"/>
                <w:sz w:val="16"/>
                <w:szCs w:val="16"/>
                <w:lang w:val="es-NI" w:eastAsia="es-NI"/>
              </w:rPr>
            </w:pPr>
            <w:r w:rsidRPr="00C85828">
              <w:rPr>
                <w:rFonts w:ascii="Calibri" w:eastAsia="Times New Roman" w:hAnsi="Calibri" w:cs="Calibri"/>
                <w:color w:val="000000"/>
                <w:sz w:val="16"/>
                <w:szCs w:val="16"/>
                <w:lang w:eastAsia="es-NI"/>
              </w:rPr>
              <w:t>100.0</w:t>
            </w:r>
          </w:p>
        </w:tc>
      </w:tr>
    </w:tbl>
    <w:p w:rsidR="00694C62" w:rsidRPr="001C2738" w:rsidRDefault="00694C62" w:rsidP="00694C62">
      <w:pPr>
        <w:spacing w:before="0" w:beforeAutospacing="0" w:after="0" w:afterAutospacing="0" w:line="259" w:lineRule="auto"/>
        <w:jc w:val="left"/>
        <w:rPr>
          <w:sz w:val="16"/>
          <w:szCs w:val="16"/>
          <w:lang w:val="es-HN"/>
        </w:rPr>
      </w:pPr>
      <w:r w:rsidRPr="001C2738">
        <w:rPr>
          <w:sz w:val="16"/>
          <w:szCs w:val="16"/>
          <w:lang w:val="es-HN"/>
        </w:rPr>
        <w:t>Fuente: Base de datos consolidado de transacciones Medición del</w:t>
      </w:r>
      <w:r w:rsidR="002E5CA8" w:rsidRPr="001C2738">
        <w:rPr>
          <w:sz w:val="16"/>
          <w:szCs w:val="16"/>
          <w:lang w:val="es-HN"/>
        </w:rPr>
        <w:t xml:space="preserve"> Gasto en Tuberculosis 2014-2016</w:t>
      </w:r>
    </w:p>
    <w:p w:rsidR="009D4D66" w:rsidRPr="001C2738" w:rsidRDefault="009D4D66" w:rsidP="009D4D66">
      <w:pPr>
        <w:rPr>
          <w:sz w:val="16"/>
          <w:szCs w:val="16"/>
          <w:lang w:val="es-HN"/>
        </w:rPr>
      </w:pPr>
    </w:p>
    <w:p w:rsidR="00C5285E" w:rsidRDefault="00C5285E">
      <w:pPr>
        <w:spacing w:before="0" w:beforeAutospacing="0" w:after="160" w:afterAutospacing="0" w:line="259" w:lineRule="auto"/>
        <w:jc w:val="left"/>
        <w:rPr>
          <w:rFonts w:eastAsiaTheme="majorEastAsia" w:cstheme="majorBidi"/>
          <w:b/>
          <w:bCs/>
          <w:caps/>
          <w:sz w:val="28"/>
          <w:szCs w:val="28"/>
          <w:lang w:val="es-HN"/>
        </w:rPr>
      </w:pPr>
      <w:r>
        <w:rPr>
          <w:lang w:val="es-HN"/>
        </w:rPr>
        <w:br w:type="page"/>
      </w:r>
    </w:p>
    <w:p w:rsidR="00603B69" w:rsidRDefault="00603B69">
      <w:pPr>
        <w:spacing w:before="0" w:beforeAutospacing="0" w:after="160" w:afterAutospacing="0" w:line="259" w:lineRule="auto"/>
        <w:jc w:val="left"/>
        <w:rPr>
          <w:lang w:val="es-HN"/>
        </w:rPr>
      </w:pPr>
    </w:p>
    <w:p w:rsidR="00603B69" w:rsidRDefault="00603B69" w:rsidP="00603B69">
      <w:pPr>
        <w:pStyle w:val="Ttulo2"/>
      </w:pPr>
      <w:bookmarkStart w:id="16" w:name="_Toc529102111"/>
      <w:r>
        <w:t>Lista de personas consultadas</w:t>
      </w:r>
      <w:bookmarkEnd w:id="16"/>
    </w:p>
    <w:tbl>
      <w:tblPr>
        <w:tblStyle w:val="Tablaconcuadrcula"/>
        <w:tblW w:w="9826" w:type="dxa"/>
        <w:tblLook w:val="04A0" w:firstRow="1" w:lastRow="0" w:firstColumn="1" w:lastColumn="0" w:noHBand="0" w:noVBand="1"/>
      </w:tblPr>
      <w:tblGrid>
        <w:gridCol w:w="558"/>
        <w:gridCol w:w="2839"/>
        <w:gridCol w:w="2858"/>
        <w:gridCol w:w="3571"/>
      </w:tblGrid>
      <w:tr w:rsidR="00603B69" w:rsidTr="00603B69">
        <w:tc>
          <w:tcPr>
            <w:tcW w:w="558" w:type="dxa"/>
            <w:shd w:val="clear" w:color="auto" w:fill="5B9BD5" w:themeFill="accent1"/>
          </w:tcPr>
          <w:p w:rsidR="00603B69" w:rsidRDefault="00603B69" w:rsidP="00C60A98">
            <w:pPr>
              <w:jc w:val="center"/>
            </w:pPr>
            <w:r>
              <w:t>No.</w:t>
            </w:r>
          </w:p>
        </w:tc>
        <w:tc>
          <w:tcPr>
            <w:tcW w:w="2839" w:type="dxa"/>
            <w:shd w:val="clear" w:color="auto" w:fill="5B9BD5" w:themeFill="accent1"/>
          </w:tcPr>
          <w:p w:rsidR="00603B69" w:rsidRDefault="00603B69" w:rsidP="00C60A98">
            <w:pPr>
              <w:jc w:val="center"/>
            </w:pPr>
            <w:r>
              <w:t>NOMBRES Y APELLIDOS</w:t>
            </w:r>
          </w:p>
        </w:tc>
        <w:tc>
          <w:tcPr>
            <w:tcW w:w="2858" w:type="dxa"/>
            <w:shd w:val="clear" w:color="auto" w:fill="5B9BD5" w:themeFill="accent1"/>
          </w:tcPr>
          <w:p w:rsidR="00603B69" w:rsidRDefault="00603B69" w:rsidP="00C60A98">
            <w:pPr>
              <w:jc w:val="center"/>
            </w:pPr>
            <w:r>
              <w:t>Cargo</w:t>
            </w:r>
          </w:p>
        </w:tc>
        <w:tc>
          <w:tcPr>
            <w:tcW w:w="3571" w:type="dxa"/>
            <w:shd w:val="clear" w:color="auto" w:fill="5B9BD5" w:themeFill="accent1"/>
          </w:tcPr>
          <w:p w:rsidR="00603B69" w:rsidRDefault="00603B69" w:rsidP="00C60A98">
            <w:pPr>
              <w:jc w:val="center"/>
            </w:pPr>
            <w:r>
              <w:t>INSTITUCIÓN</w:t>
            </w:r>
          </w:p>
        </w:tc>
      </w:tr>
      <w:tr w:rsidR="00603B69" w:rsidTr="00603B69">
        <w:trPr>
          <w:trHeight w:val="654"/>
        </w:trPr>
        <w:tc>
          <w:tcPr>
            <w:tcW w:w="558" w:type="dxa"/>
          </w:tcPr>
          <w:p w:rsidR="00603B69" w:rsidRDefault="00603B69" w:rsidP="00C60A98">
            <w:pPr>
              <w:jc w:val="center"/>
            </w:pPr>
            <w:r>
              <w:t>1</w:t>
            </w:r>
          </w:p>
        </w:tc>
        <w:tc>
          <w:tcPr>
            <w:tcW w:w="2839" w:type="dxa"/>
          </w:tcPr>
          <w:p w:rsidR="00603B69" w:rsidRDefault="00603B69" w:rsidP="00C60A98">
            <w:pPr>
              <w:jc w:val="left"/>
            </w:pPr>
            <w:r>
              <w:t xml:space="preserve">Lic. Rafael Rivas </w:t>
            </w:r>
          </w:p>
        </w:tc>
        <w:tc>
          <w:tcPr>
            <w:tcW w:w="2858" w:type="dxa"/>
          </w:tcPr>
          <w:p w:rsidR="00603B69" w:rsidRDefault="00603B69" w:rsidP="00C60A98">
            <w:pPr>
              <w:jc w:val="left"/>
            </w:pPr>
            <w:r>
              <w:t>Director General Financiero</w:t>
            </w:r>
          </w:p>
        </w:tc>
        <w:tc>
          <w:tcPr>
            <w:tcW w:w="3571" w:type="dxa"/>
          </w:tcPr>
          <w:p w:rsidR="00603B69" w:rsidRDefault="00603B69" w:rsidP="00C60A98">
            <w:pPr>
              <w:jc w:val="left"/>
            </w:pPr>
            <w:r>
              <w:t>Instituto Nicaragüense de Seguridad Social</w:t>
            </w:r>
          </w:p>
        </w:tc>
      </w:tr>
      <w:tr w:rsidR="00603B69" w:rsidTr="00603B69">
        <w:trPr>
          <w:trHeight w:val="563"/>
        </w:trPr>
        <w:tc>
          <w:tcPr>
            <w:tcW w:w="558" w:type="dxa"/>
          </w:tcPr>
          <w:p w:rsidR="00603B69" w:rsidRDefault="00603B69" w:rsidP="00C60A98">
            <w:pPr>
              <w:jc w:val="center"/>
            </w:pPr>
            <w:r>
              <w:t>2</w:t>
            </w:r>
          </w:p>
        </w:tc>
        <w:tc>
          <w:tcPr>
            <w:tcW w:w="2839" w:type="dxa"/>
          </w:tcPr>
          <w:p w:rsidR="00603B69" w:rsidRDefault="00603B69" w:rsidP="00C60A98">
            <w:pPr>
              <w:jc w:val="left"/>
            </w:pPr>
            <w:r>
              <w:t>Dra. Aurora Soto</w:t>
            </w:r>
          </w:p>
        </w:tc>
        <w:tc>
          <w:tcPr>
            <w:tcW w:w="2858" w:type="dxa"/>
          </w:tcPr>
          <w:p w:rsidR="00603B69" w:rsidRDefault="00603B69" w:rsidP="00C60A98">
            <w:pPr>
              <w:jc w:val="left"/>
            </w:pPr>
            <w:r>
              <w:t>Coordinadora General Unidad de Proyectos</w:t>
            </w:r>
          </w:p>
        </w:tc>
        <w:tc>
          <w:tcPr>
            <w:tcW w:w="3571" w:type="dxa"/>
          </w:tcPr>
          <w:p w:rsidR="00603B69" w:rsidRDefault="00603B69" w:rsidP="00C60A98">
            <w:pPr>
              <w:jc w:val="left"/>
            </w:pPr>
            <w:r>
              <w:t>Instituto Nicaragüense de Seguridad Social</w:t>
            </w:r>
          </w:p>
        </w:tc>
      </w:tr>
      <w:tr w:rsidR="00603B69" w:rsidTr="00603B69">
        <w:tc>
          <w:tcPr>
            <w:tcW w:w="558" w:type="dxa"/>
          </w:tcPr>
          <w:p w:rsidR="00603B69" w:rsidRDefault="00603B69" w:rsidP="00C60A98">
            <w:pPr>
              <w:jc w:val="center"/>
            </w:pPr>
            <w:r>
              <w:t>3</w:t>
            </w:r>
          </w:p>
        </w:tc>
        <w:tc>
          <w:tcPr>
            <w:tcW w:w="2839" w:type="dxa"/>
          </w:tcPr>
          <w:p w:rsidR="00603B69" w:rsidRDefault="00603B69" w:rsidP="00C60A98">
            <w:r>
              <w:t>Lic. Mirta Salazar</w:t>
            </w:r>
          </w:p>
        </w:tc>
        <w:tc>
          <w:tcPr>
            <w:tcW w:w="2858" w:type="dxa"/>
          </w:tcPr>
          <w:p w:rsidR="00603B69" w:rsidRDefault="00603B69" w:rsidP="00C60A98">
            <w:pPr>
              <w:jc w:val="left"/>
            </w:pPr>
            <w:r>
              <w:t xml:space="preserve">Coordinadora Administrativa Financiera Unidad de Proyectos </w:t>
            </w:r>
          </w:p>
        </w:tc>
        <w:tc>
          <w:tcPr>
            <w:tcW w:w="3571" w:type="dxa"/>
          </w:tcPr>
          <w:p w:rsidR="00603B69" w:rsidRDefault="00603B69" w:rsidP="00C60A98">
            <w:r>
              <w:t>Instituto Nicaragüense de Seguridad Social</w:t>
            </w:r>
          </w:p>
        </w:tc>
      </w:tr>
      <w:tr w:rsidR="00603B69" w:rsidTr="00603B69">
        <w:tc>
          <w:tcPr>
            <w:tcW w:w="558" w:type="dxa"/>
          </w:tcPr>
          <w:p w:rsidR="00603B69" w:rsidRDefault="00603B69" w:rsidP="00C60A98">
            <w:pPr>
              <w:jc w:val="center"/>
            </w:pPr>
            <w:r>
              <w:t>4</w:t>
            </w:r>
          </w:p>
        </w:tc>
        <w:tc>
          <w:tcPr>
            <w:tcW w:w="2839" w:type="dxa"/>
          </w:tcPr>
          <w:p w:rsidR="00603B69" w:rsidRDefault="00603B69" w:rsidP="00C60A98">
            <w:r>
              <w:t>Dra. Arelisabel Ruiz</w:t>
            </w:r>
          </w:p>
        </w:tc>
        <w:tc>
          <w:tcPr>
            <w:tcW w:w="2858" w:type="dxa"/>
          </w:tcPr>
          <w:p w:rsidR="00603B69" w:rsidRDefault="00603B69" w:rsidP="00C60A98">
            <w:r>
              <w:t>Programa Nacional de  Tuberculosis</w:t>
            </w:r>
          </w:p>
        </w:tc>
        <w:tc>
          <w:tcPr>
            <w:tcW w:w="3571" w:type="dxa"/>
          </w:tcPr>
          <w:p w:rsidR="00603B69" w:rsidRDefault="00603B69" w:rsidP="00C60A98">
            <w:r>
              <w:t>Ministerio de Salud</w:t>
            </w:r>
          </w:p>
        </w:tc>
      </w:tr>
      <w:tr w:rsidR="00603B69" w:rsidTr="00603B69">
        <w:tc>
          <w:tcPr>
            <w:tcW w:w="558" w:type="dxa"/>
          </w:tcPr>
          <w:p w:rsidR="00603B69" w:rsidRDefault="00603B69" w:rsidP="00C60A98">
            <w:pPr>
              <w:jc w:val="center"/>
            </w:pPr>
            <w:r>
              <w:t>5</w:t>
            </w:r>
          </w:p>
        </w:tc>
        <w:tc>
          <w:tcPr>
            <w:tcW w:w="2839" w:type="dxa"/>
          </w:tcPr>
          <w:p w:rsidR="00603B69" w:rsidRDefault="00603B69" w:rsidP="00C60A98">
            <w:r>
              <w:t>Dra. Jazmina Umaña</w:t>
            </w:r>
          </w:p>
        </w:tc>
        <w:tc>
          <w:tcPr>
            <w:tcW w:w="2858" w:type="dxa"/>
          </w:tcPr>
          <w:p w:rsidR="00603B69" w:rsidRDefault="00603B69" w:rsidP="00C60A98">
            <w:r>
              <w:t>Programa Nacional de Inmunizaciones</w:t>
            </w:r>
          </w:p>
        </w:tc>
        <w:tc>
          <w:tcPr>
            <w:tcW w:w="3571" w:type="dxa"/>
          </w:tcPr>
          <w:p w:rsidR="00603B69" w:rsidRDefault="00603B69" w:rsidP="00C60A98">
            <w:r>
              <w:t xml:space="preserve">Ministerio de Salud </w:t>
            </w:r>
          </w:p>
        </w:tc>
      </w:tr>
      <w:tr w:rsidR="00603B69" w:rsidTr="00603B69">
        <w:tc>
          <w:tcPr>
            <w:tcW w:w="558" w:type="dxa"/>
          </w:tcPr>
          <w:p w:rsidR="00603B69" w:rsidRDefault="00603B69" w:rsidP="00C60A98">
            <w:pPr>
              <w:jc w:val="center"/>
            </w:pPr>
            <w:r>
              <w:t>6</w:t>
            </w:r>
          </w:p>
        </w:tc>
        <w:tc>
          <w:tcPr>
            <w:tcW w:w="2839" w:type="dxa"/>
          </w:tcPr>
          <w:p w:rsidR="00603B69" w:rsidRDefault="00603B69" w:rsidP="00C60A98"/>
        </w:tc>
        <w:tc>
          <w:tcPr>
            <w:tcW w:w="2858" w:type="dxa"/>
          </w:tcPr>
          <w:p w:rsidR="00603B69" w:rsidRDefault="00603B69" w:rsidP="00C60A98">
            <w:r>
              <w:t>Dirección General de Administración Financiera</w:t>
            </w:r>
          </w:p>
        </w:tc>
        <w:tc>
          <w:tcPr>
            <w:tcW w:w="3571" w:type="dxa"/>
          </w:tcPr>
          <w:p w:rsidR="00603B69" w:rsidRDefault="00603B69" w:rsidP="00C60A98">
            <w:r w:rsidRPr="00ED3189">
              <w:t xml:space="preserve">Ministerio de Salud </w:t>
            </w:r>
          </w:p>
        </w:tc>
      </w:tr>
      <w:tr w:rsidR="00603B69" w:rsidTr="00603B69">
        <w:tc>
          <w:tcPr>
            <w:tcW w:w="558" w:type="dxa"/>
          </w:tcPr>
          <w:p w:rsidR="00603B69" w:rsidRDefault="00603B69" w:rsidP="00C60A98">
            <w:pPr>
              <w:jc w:val="center"/>
            </w:pPr>
            <w:r>
              <w:t>7</w:t>
            </w:r>
          </w:p>
        </w:tc>
        <w:tc>
          <w:tcPr>
            <w:tcW w:w="2839" w:type="dxa"/>
          </w:tcPr>
          <w:p w:rsidR="00603B69" w:rsidRDefault="00603B69" w:rsidP="00C60A98"/>
        </w:tc>
        <w:tc>
          <w:tcPr>
            <w:tcW w:w="2858" w:type="dxa"/>
          </w:tcPr>
          <w:p w:rsidR="00603B69" w:rsidRDefault="00603B69" w:rsidP="00C60A98">
            <w:r>
              <w:t>División General de Planificación y Desarrollo</w:t>
            </w:r>
          </w:p>
        </w:tc>
        <w:tc>
          <w:tcPr>
            <w:tcW w:w="3571" w:type="dxa"/>
          </w:tcPr>
          <w:p w:rsidR="00603B69" w:rsidRDefault="00603B69" w:rsidP="00C60A98">
            <w:r w:rsidRPr="00ED3189">
              <w:t xml:space="preserve">Ministerio de Salud </w:t>
            </w:r>
          </w:p>
        </w:tc>
      </w:tr>
      <w:tr w:rsidR="00603B69" w:rsidTr="00603B69">
        <w:tc>
          <w:tcPr>
            <w:tcW w:w="558" w:type="dxa"/>
          </w:tcPr>
          <w:p w:rsidR="00603B69" w:rsidRDefault="00603B69" w:rsidP="00C60A98">
            <w:pPr>
              <w:jc w:val="center"/>
            </w:pPr>
            <w:r>
              <w:t>8</w:t>
            </w:r>
          </w:p>
        </w:tc>
        <w:tc>
          <w:tcPr>
            <w:tcW w:w="2839" w:type="dxa"/>
          </w:tcPr>
          <w:p w:rsidR="00603B69" w:rsidRDefault="00603B69" w:rsidP="00C60A98">
            <w:r>
              <w:t>Dr. Alfonso Castaño</w:t>
            </w:r>
          </w:p>
        </w:tc>
        <w:tc>
          <w:tcPr>
            <w:tcW w:w="2858" w:type="dxa"/>
          </w:tcPr>
          <w:p w:rsidR="00603B69" w:rsidRDefault="00603B69" w:rsidP="00C60A98">
            <w:r>
              <w:t>Jefe de Oficina de Previsión y Asistencia Social</w:t>
            </w:r>
          </w:p>
        </w:tc>
        <w:tc>
          <w:tcPr>
            <w:tcW w:w="3571" w:type="dxa"/>
          </w:tcPr>
          <w:p w:rsidR="00603B69" w:rsidRDefault="00603B69" w:rsidP="00C60A98">
            <w:r>
              <w:t>Ministerio de Gobernación</w:t>
            </w:r>
          </w:p>
        </w:tc>
      </w:tr>
      <w:tr w:rsidR="00603B69" w:rsidTr="00603B69">
        <w:tc>
          <w:tcPr>
            <w:tcW w:w="558" w:type="dxa"/>
          </w:tcPr>
          <w:p w:rsidR="00603B69" w:rsidRDefault="00603B69" w:rsidP="00C60A98">
            <w:pPr>
              <w:jc w:val="center"/>
            </w:pPr>
            <w:r>
              <w:t>9</w:t>
            </w:r>
          </w:p>
        </w:tc>
        <w:tc>
          <w:tcPr>
            <w:tcW w:w="2839" w:type="dxa"/>
          </w:tcPr>
          <w:p w:rsidR="00603B69" w:rsidRDefault="00603B69" w:rsidP="00C60A98">
            <w:r>
              <w:t>Lic. Juan Urcuyo Pérez</w:t>
            </w:r>
          </w:p>
        </w:tc>
        <w:tc>
          <w:tcPr>
            <w:tcW w:w="2858" w:type="dxa"/>
          </w:tcPr>
          <w:p w:rsidR="00603B69" w:rsidRDefault="00603B69" w:rsidP="00C60A98">
            <w:r>
              <w:t xml:space="preserve">Coordinador Técnico </w:t>
            </w:r>
          </w:p>
        </w:tc>
        <w:tc>
          <w:tcPr>
            <w:tcW w:w="3571" w:type="dxa"/>
          </w:tcPr>
          <w:p w:rsidR="00603B69" w:rsidRDefault="00603B69" w:rsidP="00C60A98">
            <w:r>
              <w:t>Instituto Contra el Alcoholismo y Drogadicción</w:t>
            </w:r>
          </w:p>
        </w:tc>
      </w:tr>
      <w:tr w:rsidR="00603B69" w:rsidTr="00603B69">
        <w:tc>
          <w:tcPr>
            <w:tcW w:w="558" w:type="dxa"/>
          </w:tcPr>
          <w:p w:rsidR="00603B69" w:rsidRDefault="00603B69" w:rsidP="00C60A98">
            <w:pPr>
              <w:jc w:val="center"/>
            </w:pPr>
            <w:r>
              <w:t>10</w:t>
            </w:r>
          </w:p>
        </w:tc>
        <w:tc>
          <w:tcPr>
            <w:tcW w:w="2839" w:type="dxa"/>
          </w:tcPr>
          <w:p w:rsidR="00603B69" w:rsidRDefault="00603B69" w:rsidP="00C60A98">
            <w:r>
              <w:t>Lic. Aida Morales</w:t>
            </w:r>
          </w:p>
        </w:tc>
        <w:tc>
          <w:tcPr>
            <w:tcW w:w="2858" w:type="dxa"/>
          </w:tcPr>
          <w:p w:rsidR="00603B69" w:rsidRDefault="00603B69" w:rsidP="00C60A98">
            <w:r>
              <w:t>Responsable Administrativa Financiera</w:t>
            </w:r>
          </w:p>
        </w:tc>
        <w:tc>
          <w:tcPr>
            <w:tcW w:w="3571" w:type="dxa"/>
          </w:tcPr>
          <w:p w:rsidR="00603B69" w:rsidRDefault="00603B69" w:rsidP="00C60A98">
            <w:pPr>
              <w:ind w:firstLine="34"/>
            </w:pPr>
            <w:r>
              <w:t>Fundación Damián</w:t>
            </w:r>
          </w:p>
        </w:tc>
      </w:tr>
      <w:tr w:rsidR="00603B69" w:rsidTr="00603B69">
        <w:tc>
          <w:tcPr>
            <w:tcW w:w="558" w:type="dxa"/>
          </w:tcPr>
          <w:p w:rsidR="00603B69" w:rsidRDefault="00603B69" w:rsidP="00C60A98">
            <w:pPr>
              <w:jc w:val="center"/>
            </w:pPr>
            <w:r>
              <w:t>11</w:t>
            </w:r>
          </w:p>
        </w:tc>
        <w:tc>
          <w:tcPr>
            <w:tcW w:w="2839" w:type="dxa"/>
          </w:tcPr>
          <w:p w:rsidR="00603B69" w:rsidRDefault="00603B69" w:rsidP="00C60A98">
            <w:r>
              <w:t>Lic.  Maybolls Carrasco</w:t>
            </w:r>
          </w:p>
        </w:tc>
        <w:tc>
          <w:tcPr>
            <w:tcW w:w="2858" w:type="dxa"/>
          </w:tcPr>
          <w:p w:rsidR="00603B69" w:rsidRDefault="00603B69" w:rsidP="00C60A98">
            <w:r>
              <w:t>Consultora</w:t>
            </w:r>
          </w:p>
        </w:tc>
        <w:tc>
          <w:tcPr>
            <w:tcW w:w="3571" w:type="dxa"/>
          </w:tcPr>
          <w:p w:rsidR="00603B69" w:rsidRDefault="00603B69" w:rsidP="00C60A98"/>
        </w:tc>
      </w:tr>
    </w:tbl>
    <w:p w:rsidR="00BC0150" w:rsidRDefault="00603B69" w:rsidP="00B448EE">
      <w:pPr>
        <w:spacing w:before="0" w:beforeAutospacing="0" w:after="160" w:afterAutospacing="0" w:line="259" w:lineRule="auto"/>
        <w:jc w:val="left"/>
        <w:rPr>
          <w:lang w:val="es-HN"/>
        </w:rPr>
      </w:pPr>
      <w:r>
        <w:rPr>
          <w:lang w:val="es-HN"/>
        </w:rPr>
        <w:br w:type="page"/>
      </w:r>
      <w:r w:rsidR="001B4173">
        <w:rPr>
          <w:lang w:val="es-HN"/>
        </w:rPr>
        <w:lastRenderedPageBreak/>
        <w:t>BIBLIOGRAFÍA</w:t>
      </w:r>
    </w:p>
    <w:p w:rsidR="00C85828" w:rsidRDefault="00C85828" w:rsidP="002E4DEB">
      <w:pPr>
        <w:pStyle w:val="Prrafodelista"/>
        <w:numPr>
          <w:ilvl w:val="0"/>
          <w:numId w:val="24"/>
        </w:numPr>
        <w:rPr>
          <w:lang w:val="es-HN"/>
        </w:rPr>
      </w:pPr>
      <w:r w:rsidRPr="00C93D5E">
        <w:rPr>
          <w:lang w:val="es-HN"/>
        </w:rPr>
        <w:t xml:space="preserve">Nicaragua. GRUN, MINSA. </w:t>
      </w:r>
      <w:r w:rsidRPr="003574E4">
        <w:t xml:space="preserve">Situación Epidemiologia </w:t>
      </w:r>
      <w:r w:rsidR="0036265F" w:rsidRPr="003574E4">
        <w:t>de la</w:t>
      </w:r>
      <w:r w:rsidRPr="003574E4">
        <w:t xml:space="preserve"> Tuberculosis</w:t>
      </w:r>
      <w:r>
        <w:t xml:space="preserve"> Año 2016. Managua </w:t>
      </w:r>
      <w:r w:rsidR="0036265F">
        <w:t>junio</w:t>
      </w:r>
      <w:r>
        <w:t xml:space="preserve"> 2017</w:t>
      </w:r>
    </w:p>
    <w:p w:rsidR="001C6CF5" w:rsidRDefault="001C6CF5" w:rsidP="002E4DEB">
      <w:pPr>
        <w:pStyle w:val="Prrafodelista"/>
        <w:numPr>
          <w:ilvl w:val="0"/>
          <w:numId w:val="24"/>
        </w:numPr>
        <w:rPr>
          <w:lang w:val="es-HN"/>
        </w:rPr>
      </w:pPr>
      <w:r w:rsidRPr="001C6CF5">
        <w:rPr>
          <w:lang w:val="es-HN"/>
        </w:rPr>
        <w:t xml:space="preserve">Nicaragua. GRUN, MINSA. Normativa No. 131 </w:t>
      </w:r>
      <w:r w:rsidR="00B560DC">
        <w:rPr>
          <w:lang w:val="es-HN"/>
        </w:rPr>
        <w:t>Protocolo Para e</w:t>
      </w:r>
      <w:r w:rsidR="00B560DC" w:rsidRPr="001C6CF5">
        <w:rPr>
          <w:lang w:val="es-HN"/>
        </w:rPr>
        <w:t>l Manejo Clínico Programát</w:t>
      </w:r>
      <w:r w:rsidR="00B560DC">
        <w:rPr>
          <w:lang w:val="es-HN"/>
        </w:rPr>
        <w:t>ico de l</w:t>
      </w:r>
      <w:r w:rsidR="00B560DC" w:rsidRPr="001C6CF5">
        <w:rPr>
          <w:lang w:val="es-HN"/>
        </w:rPr>
        <w:t>a Tuberculosis Drogorresistente. Managua, Minsa,</w:t>
      </w:r>
      <w:r w:rsidRPr="001C6CF5">
        <w:rPr>
          <w:lang w:val="es-HN"/>
        </w:rPr>
        <w:t xml:space="preserve"> septiembre, 2014.</w:t>
      </w:r>
    </w:p>
    <w:p w:rsidR="001C6CF5" w:rsidRDefault="00B560DC" w:rsidP="00B560DC">
      <w:pPr>
        <w:pStyle w:val="Prrafodelista"/>
        <w:numPr>
          <w:ilvl w:val="0"/>
          <w:numId w:val="24"/>
        </w:numPr>
        <w:rPr>
          <w:lang w:val="es-HN"/>
        </w:rPr>
      </w:pPr>
      <w:r>
        <w:rPr>
          <w:lang w:val="es-HN"/>
        </w:rPr>
        <w:t>Nicaragua GRUN. MINSA. Plan Estratégico D</w:t>
      </w:r>
      <w:r w:rsidR="00C93D5E">
        <w:rPr>
          <w:lang w:val="es-HN"/>
        </w:rPr>
        <w:t>e l</w:t>
      </w:r>
      <w:r>
        <w:rPr>
          <w:lang w:val="es-HN"/>
        </w:rPr>
        <w:t xml:space="preserve">a Respuesta </w:t>
      </w:r>
      <w:r w:rsidR="0036265F">
        <w:rPr>
          <w:lang w:val="es-HN"/>
        </w:rPr>
        <w:t>Nacional a</w:t>
      </w:r>
      <w:r>
        <w:rPr>
          <w:lang w:val="es-HN"/>
        </w:rPr>
        <w:t xml:space="preserve"> la</w:t>
      </w:r>
      <w:r w:rsidRPr="00B560DC">
        <w:rPr>
          <w:lang w:val="es-HN"/>
        </w:rPr>
        <w:t xml:space="preserve"> Tuberculosis 2016-2020</w:t>
      </w:r>
      <w:r>
        <w:rPr>
          <w:lang w:val="es-HN"/>
        </w:rPr>
        <w:t>. Nicaragua 2015.</w:t>
      </w:r>
    </w:p>
    <w:p w:rsidR="00C93D5E" w:rsidRPr="00C93D5E" w:rsidRDefault="00B560DC" w:rsidP="002E4DEB">
      <w:pPr>
        <w:pStyle w:val="Prrafodelista"/>
        <w:numPr>
          <w:ilvl w:val="0"/>
          <w:numId w:val="24"/>
        </w:numPr>
      </w:pPr>
      <w:r w:rsidRPr="00C93D5E">
        <w:rPr>
          <w:lang w:val="es-HN"/>
        </w:rPr>
        <w:t xml:space="preserve">Nicaragua. GRUN, MINSA. Normativa No. </w:t>
      </w:r>
      <w:r w:rsidR="0036265F" w:rsidRPr="00C93D5E">
        <w:rPr>
          <w:lang w:val="es-HN"/>
        </w:rPr>
        <w:t>051 Normas</w:t>
      </w:r>
      <w:r w:rsidR="00C93D5E" w:rsidRPr="00C93D5E">
        <w:rPr>
          <w:lang w:val="es-HN"/>
        </w:rPr>
        <w:t xml:space="preserve"> y Procedimientos para el abordaje de la Tuberculosis. Managua, </w:t>
      </w:r>
      <w:r w:rsidR="0036265F" w:rsidRPr="00C93D5E">
        <w:rPr>
          <w:lang w:val="es-HN"/>
        </w:rPr>
        <w:t>septiembre</w:t>
      </w:r>
      <w:r w:rsidR="00C93D5E" w:rsidRPr="00C93D5E">
        <w:rPr>
          <w:lang w:val="es-HN"/>
        </w:rPr>
        <w:t xml:space="preserve"> 2010. </w:t>
      </w:r>
    </w:p>
    <w:p w:rsidR="00C93D5E" w:rsidRPr="00C93D5E" w:rsidRDefault="00C93D5E" w:rsidP="002E4DEB">
      <w:pPr>
        <w:pStyle w:val="Prrafodelista"/>
        <w:numPr>
          <w:ilvl w:val="0"/>
          <w:numId w:val="24"/>
        </w:numPr>
        <w:rPr>
          <w:lang w:val="es-HN"/>
        </w:rPr>
      </w:pPr>
      <w:r w:rsidRPr="00C93D5E">
        <w:rPr>
          <w:lang w:val="es-HN"/>
        </w:rPr>
        <w:t xml:space="preserve">Nicaragua. GRUN, MINSA. </w:t>
      </w:r>
      <w:r w:rsidRPr="003574E4">
        <w:t xml:space="preserve">Situación Epidemiologia </w:t>
      </w:r>
      <w:r w:rsidR="0036265F" w:rsidRPr="003574E4">
        <w:t>de la</w:t>
      </w:r>
      <w:r w:rsidRPr="003574E4">
        <w:t xml:space="preserve"> </w:t>
      </w:r>
      <w:r w:rsidR="00E8453A" w:rsidRPr="003574E4">
        <w:t>Tuberculosis Año</w:t>
      </w:r>
      <w:r w:rsidRPr="003574E4">
        <w:t xml:space="preserve"> 2015</w:t>
      </w:r>
      <w:r>
        <w:t xml:space="preserve">. Managua </w:t>
      </w:r>
      <w:r w:rsidR="0036265F">
        <w:t>junio</w:t>
      </w:r>
      <w:r>
        <w:t xml:space="preserve"> 2016. </w:t>
      </w:r>
    </w:p>
    <w:p w:rsidR="00C93D5E" w:rsidRPr="00C93D5E" w:rsidRDefault="00C93D5E" w:rsidP="00C93D5E">
      <w:pPr>
        <w:pStyle w:val="Prrafodelista"/>
        <w:numPr>
          <w:ilvl w:val="0"/>
          <w:numId w:val="24"/>
        </w:numPr>
        <w:rPr>
          <w:lang w:val="es-HN"/>
        </w:rPr>
      </w:pPr>
      <w:r w:rsidRPr="00C93D5E">
        <w:rPr>
          <w:lang w:val="es-HN"/>
        </w:rPr>
        <w:t xml:space="preserve">  FM. MINSA.  Informe Anual Del Programa De Control de La Tuberculosis. </w:t>
      </w:r>
      <w:r>
        <w:rPr>
          <w:lang w:val="es-HN"/>
        </w:rPr>
        <w:t xml:space="preserve">XX Edición / Ingresos </w:t>
      </w:r>
      <w:r w:rsidR="0036265F">
        <w:rPr>
          <w:lang w:val="es-HN"/>
        </w:rPr>
        <w:t>2014 y</w:t>
      </w:r>
      <w:r w:rsidRPr="00C93D5E">
        <w:rPr>
          <w:lang w:val="es-HN"/>
        </w:rPr>
        <w:t xml:space="preserve"> Cohorte 2013</w:t>
      </w:r>
      <w:r>
        <w:rPr>
          <w:lang w:val="es-HN"/>
        </w:rPr>
        <w:t xml:space="preserve">. </w:t>
      </w:r>
      <w:r w:rsidRPr="00C93D5E">
        <w:rPr>
          <w:lang w:val="es-HN"/>
        </w:rPr>
        <w:t xml:space="preserve">Managua, </w:t>
      </w:r>
      <w:r w:rsidR="0036265F" w:rsidRPr="00C93D5E">
        <w:rPr>
          <w:lang w:val="es-HN"/>
        </w:rPr>
        <w:t>noviembre</w:t>
      </w:r>
      <w:r w:rsidRPr="00C93D5E">
        <w:rPr>
          <w:lang w:val="es-HN"/>
        </w:rPr>
        <w:t xml:space="preserve"> 2015</w:t>
      </w:r>
    </w:p>
    <w:sectPr w:rsidR="00C93D5E" w:rsidRPr="00C93D5E" w:rsidSect="00540CAD">
      <w:headerReference w:type="default" r:id="rId16"/>
      <w:footerReference w:type="default" r:id="rId1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730" w:rsidRDefault="00555730" w:rsidP="00733923">
      <w:pPr>
        <w:spacing w:before="0" w:after="0"/>
      </w:pPr>
      <w:r>
        <w:separator/>
      </w:r>
    </w:p>
  </w:endnote>
  <w:endnote w:type="continuationSeparator" w:id="0">
    <w:p w:rsidR="00555730" w:rsidRDefault="00555730" w:rsidP="007339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016530"/>
      <w:docPartObj>
        <w:docPartGallery w:val="Page Numbers (Bottom of Page)"/>
        <w:docPartUnique/>
      </w:docPartObj>
    </w:sdtPr>
    <w:sdtEndPr/>
    <w:sdtContent>
      <w:p w:rsidR="00C60A98" w:rsidRDefault="00164A46">
        <w:pPr>
          <w:pStyle w:val="Piedepgina"/>
          <w:jc w:val="right"/>
        </w:pPr>
        <w:r>
          <w:fldChar w:fldCharType="begin"/>
        </w:r>
        <w:r>
          <w:instrText>PAGE   \* MERGEFORMAT</w:instrText>
        </w:r>
        <w:r>
          <w:fldChar w:fldCharType="separate"/>
        </w:r>
        <w:r w:rsidR="001C2738" w:rsidRPr="001C2738">
          <w:rPr>
            <w:noProof/>
            <w:lang w:val="es-ES"/>
          </w:rPr>
          <w:t>2</w:t>
        </w:r>
        <w:r>
          <w:rPr>
            <w:noProof/>
            <w:lang w:val="es-ES"/>
          </w:rPr>
          <w:fldChar w:fldCharType="end"/>
        </w:r>
      </w:p>
    </w:sdtContent>
  </w:sdt>
  <w:p w:rsidR="00C60A98" w:rsidRDefault="00C60A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730" w:rsidRDefault="00555730" w:rsidP="00733923">
      <w:pPr>
        <w:spacing w:before="0" w:after="0"/>
      </w:pPr>
      <w:r>
        <w:separator/>
      </w:r>
    </w:p>
  </w:footnote>
  <w:footnote w:type="continuationSeparator" w:id="0">
    <w:p w:rsidR="00555730" w:rsidRDefault="00555730" w:rsidP="00733923">
      <w:pPr>
        <w:spacing w:before="0" w:after="0"/>
      </w:pPr>
      <w:r>
        <w:continuationSeparator/>
      </w:r>
    </w:p>
  </w:footnote>
  <w:footnote w:id="1">
    <w:p w:rsidR="00C60A98" w:rsidRPr="00F07945" w:rsidRDefault="00C60A98" w:rsidP="008B35C6">
      <w:pPr>
        <w:pStyle w:val="Textonotapie"/>
        <w:spacing w:beforeAutospacing="0" w:afterAutospacing="0"/>
        <w:rPr>
          <w:sz w:val="12"/>
          <w:szCs w:val="12"/>
        </w:rPr>
      </w:pPr>
      <w:r w:rsidRPr="00F07945">
        <w:rPr>
          <w:sz w:val="12"/>
          <w:szCs w:val="12"/>
        </w:rPr>
        <w:footnoteRef/>
      </w:r>
      <w:r w:rsidRPr="00F07945">
        <w:rPr>
          <w:sz w:val="12"/>
          <w:szCs w:val="12"/>
        </w:rPr>
        <w:t xml:space="preserve"> Tasa x 100,000. Estadísticas Nacionales del PCTB 201</w:t>
      </w:r>
      <w:r>
        <w:rPr>
          <w:sz w:val="12"/>
          <w:szCs w:val="12"/>
        </w:rPr>
        <w:t>6</w:t>
      </w:r>
      <w:r w:rsidRPr="00F07945">
        <w:rPr>
          <w:sz w:val="12"/>
          <w:szCs w:val="12"/>
        </w:rPr>
        <w:t xml:space="preserve">. </w:t>
      </w:r>
    </w:p>
  </w:footnote>
  <w:footnote w:id="2">
    <w:p w:rsidR="00C60A98" w:rsidRPr="009261DB" w:rsidRDefault="00C60A98" w:rsidP="008B35C6">
      <w:pPr>
        <w:pStyle w:val="Textonotapie"/>
        <w:spacing w:beforeAutospacing="0" w:afterAutospacing="0"/>
      </w:pPr>
      <w:r>
        <w:rPr>
          <w:rStyle w:val="Refdenotaalpie"/>
        </w:rPr>
        <w:footnoteRef/>
      </w:r>
      <w:r w:rsidRPr="009261DB">
        <w:rPr>
          <w:sz w:val="12"/>
          <w:szCs w:val="12"/>
        </w:rPr>
        <w:t>Estimación de casos incidentes notificados de tuberculosis realizada con asistencia técnica del Dr. Vitoria en enero 2018</w:t>
      </w:r>
      <w:r>
        <w:t xml:space="preserve">. </w:t>
      </w:r>
    </w:p>
  </w:footnote>
  <w:footnote w:id="3">
    <w:p w:rsidR="00C60A98" w:rsidRPr="00F07945" w:rsidRDefault="00C60A98" w:rsidP="008B35C6">
      <w:pPr>
        <w:pStyle w:val="Textonotapie"/>
        <w:spacing w:beforeAutospacing="0" w:afterAutospacing="0"/>
        <w:rPr>
          <w:sz w:val="12"/>
          <w:szCs w:val="12"/>
        </w:rPr>
      </w:pPr>
      <w:r w:rsidRPr="00F07945">
        <w:rPr>
          <w:rStyle w:val="Refdenotaalpie"/>
          <w:sz w:val="12"/>
          <w:szCs w:val="12"/>
        </w:rPr>
        <w:footnoteRef/>
      </w:r>
      <w:r w:rsidRPr="00F07945">
        <w:rPr>
          <w:sz w:val="12"/>
          <w:szCs w:val="12"/>
        </w:rPr>
        <w:t xml:space="preserve"> Tasa x 100,000 estimaciones OMS 201</w:t>
      </w:r>
      <w:r>
        <w:rPr>
          <w:sz w:val="12"/>
          <w:szCs w:val="12"/>
        </w:rPr>
        <w:t>7</w:t>
      </w:r>
      <w:r w:rsidRPr="00F07945">
        <w:rPr>
          <w:sz w:val="12"/>
          <w:szCs w:val="12"/>
        </w:rPr>
        <w:t xml:space="preserve">. </w:t>
      </w:r>
    </w:p>
  </w:footnote>
  <w:footnote w:id="4">
    <w:p w:rsidR="00C60A98" w:rsidRPr="001D68BF" w:rsidRDefault="00C60A98" w:rsidP="008B35C6">
      <w:pPr>
        <w:pStyle w:val="Textonotapie"/>
        <w:spacing w:beforeAutospacing="0" w:afterAutospacing="0"/>
        <w:rPr>
          <w:sz w:val="12"/>
          <w:szCs w:val="12"/>
        </w:rPr>
      </w:pPr>
      <w:r w:rsidRPr="00F07945">
        <w:rPr>
          <w:rStyle w:val="Refdenotaalpie"/>
          <w:sz w:val="12"/>
          <w:szCs w:val="12"/>
        </w:rPr>
        <w:footnoteRef/>
      </w:r>
      <w:r w:rsidRPr="00F07945">
        <w:rPr>
          <w:sz w:val="12"/>
          <w:szCs w:val="12"/>
        </w:rPr>
        <w:t xml:space="preserve"> Las tasas de detección son todas las TBTF registradas 201</w:t>
      </w:r>
      <w:r>
        <w:rPr>
          <w:sz w:val="12"/>
          <w:szCs w:val="12"/>
        </w:rPr>
        <w:t>5</w:t>
      </w:r>
      <w:r w:rsidRPr="00F07945">
        <w:rPr>
          <w:sz w:val="12"/>
          <w:szCs w:val="12"/>
        </w:rPr>
        <w:t xml:space="preserve">/ </w:t>
      </w:r>
      <w:r>
        <w:rPr>
          <w:sz w:val="12"/>
          <w:szCs w:val="12"/>
        </w:rPr>
        <w:t>con el dato proyectado de</w:t>
      </w:r>
      <w:r w:rsidRPr="00F07945">
        <w:rPr>
          <w:sz w:val="12"/>
          <w:szCs w:val="12"/>
        </w:rPr>
        <w:t xml:space="preserve"> TBTF estimado por la OMS para</w:t>
      </w:r>
      <w:r>
        <w:rPr>
          <w:sz w:val="12"/>
          <w:szCs w:val="12"/>
        </w:rPr>
        <w:t>para este año</w:t>
      </w:r>
      <w:r w:rsidRPr="001D68BF">
        <w:rPr>
          <w:sz w:val="12"/>
          <w:szCs w:val="12"/>
        </w:rPr>
        <w:t>.</w:t>
      </w:r>
    </w:p>
  </w:footnote>
  <w:footnote w:id="5">
    <w:p w:rsidR="00C60A98" w:rsidRPr="00FD01E0" w:rsidRDefault="00C60A98" w:rsidP="00FD01E0">
      <w:pPr>
        <w:spacing w:before="0" w:beforeAutospacing="0" w:after="0" w:afterAutospacing="0" w:line="240" w:lineRule="auto"/>
        <w:rPr>
          <w:sz w:val="16"/>
          <w:szCs w:val="16"/>
        </w:rPr>
      </w:pPr>
      <w:r w:rsidRPr="00387467">
        <w:rPr>
          <w:rStyle w:val="Refdenotaalpie"/>
          <w:sz w:val="16"/>
          <w:szCs w:val="16"/>
        </w:rPr>
        <w:footnoteRef/>
      </w:r>
      <w:r w:rsidRPr="00FD01E0">
        <w:rPr>
          <w:sz w:val="16"/>
          <w:szCs w:val="16"/>
        </w:rPr>
        <w:t>Tasa x 100,000. Estadísticas Nacionales del PCTB 2015.</w:t>
      </w:r>
    </w:p>
  </w:footnote>
  <w:footnote w:id="6">
    <w:p w:rsidR="00C60A98" w:rsidRPr="00FD01E0" w:rsidRDefault="00C60A98" w:rsidP="00FD01E0">
      <w:pPr>
        <w:spacing w:before="0" w:beforeAutospacing="0" w:after="0" w:afterAutospacing="0" w:line="240" w:lineRule="auto"/>
        <w:rPr>
          <w:rStyle w:val="Refdenotaalpie"/>
          <w:sz w:val="16"/>
          <w:szCs w:val="16"/>
        </w:rPr>
      </w:pPr>
      <w:r w:rsidRPr="00FD01E0">
        <w:rPr>
          <w:sz w:val="16"/>
          <w:szCs w:val="16"/>
          <w:vertAlign w:val="superscript"/>
        </w:rPr>
        <w:footnoteRef/>
      </w:r>
      <w:r w:rsidRPr="00FD01E0">
        <w:rPr>
          <w:sz w:val="16"/>
          <w:szCs w:val="16"/>
        </w:rPr>
        <w:t xml:space="preserve"> Bacteriológicamente confirmado</w:t>
      </w:r>
    </w:p>
  </w:footnote>
  <w:footnote w:id="7">
    <w:p w:rsidR="00C60A98" w:rsidRPr="00FD01E0" w:rsidRDefault="00C60A98" w:rsidP="00FD01E0">
      <w:pPr>
        <w:spacing w:before="0" w:beforeAutospacing="0" w:after="0" w:afterAutospacing="0" w:line="240" w:lineRule="auto"/>
        <w:rPr>
          <w:sz w:val="16"/>
          <w:szCs w:val="16"/>
          <w:lang w:val="es-NI"/>
        </w:rPr>
      </w:pPr>
      <w:r w:rsidRPr="00FD01E0">
        <w:rPr>
          <w:sz w:val="16"/>
          <w:szCs w:val="16"/>
          <w:vertAlign w:val="superscript"/>
        </w:rPr>
        <w:footnoteRef/>
      </w:r>
      <w:r w:rsidRPr="00FD01E0">
        <w:rPr>
          <w:sz w:val="16"/>
          <w:szCs w:val="16"/>
        </w:rPr>
        <w:t xml:space="preserve"> Estadísticas ONE Minsa 2016</w:t>
      </w:r>
    </w:p>
  </w:footnote>
  <w:footnote w:id="8">
    <w:p w:rsidR="00C60A98" w:rsidRPr="00FD01E0" w:rsidRDefault="00C60A98" w:rsidP="00FD01E0">
      <w:pPr>
        <w:spacing w:before="0" w:beforeAutospacing="0" w:after="0" w:afterAutospacing="0" w:line="240" w:lineRule="auto"/>
        <w:rPr>
          <w:sz w:val="16"/>
          <w:szCs w:val="16"/>
        </w:rPr>
      </w:pPr>
      <w:r w:rsidRPr="00FD01E0">
        <w:rPr>
          <w:sz w:val="16"/>
          <w:szCs w:val="16"/>
          <w:vertAlign w:val="superscript"/>
        </w:rPr>
        <w:footnoteRef/>
      </w:r>
      <w:r w:rsidRPr="00FD01E0">
        <w:rPr>
          <w:sz w:val="16"/>
          <w:szCs w:val="16"/>
        </w:rPr>
        <w:t>Tasa x 100,000 habitantes</w:t>
      </w:r>
    </w:p>
  </w:footnote>
  <w:footnote w:id="9">
    <w:p w:rsidR="00C60A98" w:rsidRPr="00FD01E0" w:rsidRDefault="00C60A98" w:rsidP="00FD01E0">
      <w:pPr>
        <w:spacing w:before="0" w:beforeAutospacing="0" w:after="0" w:afterAutospacing="0" w:line="240" w:lineRule="auto"/>
        <w:rPr>
          <w:sz w:val="16"/>
          <w:szCs w:val="16"/>
        </w:rPr>
      </w:pPr>
      <w:r w:rsidRPr="00FD01E0">
        <w:rPr>
          <w:sz w:val="16"/>
          <w:szCs w:val="16"/>
          <w:vertAlign w:val="superscript"/>
        </w:rPr>
        <w:footnoteRef/>
      </w:r>
      <w:r w:rsidRPr="00FD01E0">
        <w:rPr>
          <w:sz w:val="16"/>
          <w:szCs w:val="16"/>
        </w:rPr>
        <w:t>Tasax100,000 habitantes</w:t>
      </w:r>
    </w:p>
  </w:footnote>
  <w:footnote w:id="10">
    <w:p w:rsidR="00C60A98" w:rsidRPr="00FD01E0" w:rsidRDefault="00C60A98" w:rsidP="00FD01E0">
      <w:pPr>
        <w:spacing w:before="0" w:beforeAutospacing="0" w:after="0" w:afterAutospacing="0" w:line="240" w:lineRule="auto"/>
        <w:rPr>
          <w:sz w:val="16"/>
          <w:szCs w:val="16"/>
        </w:rPr>
      </w:pPr>
      <w:r w:rsidRPr="00FD01E0">
        <w:rPr>
          <w:sz w:val="16"/>
          <w:szCs w:val="16"/>
          <w:vertAlign w:val="superscript"/>
        </w:rPr>
        <w:footnoteRef/>
      </w:r>
      <w:r w:rsidRPr="00FD01E0">
        <w:rPr>
          <w:sz w:val="16"/>
          <w:szCs w:val="16"/>
        </w:rPr>
        <w:t>Tasa x 100.000 habitantes</w:t>
      </w:r>
    </w:p>
  </w:footnote>
  <w:footnote w:id="11">
    <w:p w:rsidR="00C60A98" w:rsidRPr="00FD01E0" w:rsidRDefault="00C60A98" w:rsidP="00FD01E0">
      <w:pPr>
        <w:spacing w:before="0" w:beforeAutospacing="0" w:after="0" w:afterAutospacing="0" w:line="240" w:lineRule="auto"/>
      </w:pPr>
      <w:r w:rsidRPr="00FD01E0">
        <w:rPr>
          <w:vertAlign w:val="superscript"/>
        </w:rPr>
        <w:footnoteRef/>
      </w:r>
      <w:r w:rsidRPr="00FD01E0">
        <w:rPr>
          <w:vertAlign w:val="superscript"/>
        </w:rPr>
        <w:t xml:space="preserve"> Tasa x 100,000 habitantes</w:t>
      </w:r>
    </w:p>
  </w:footnote>
  <w:footnote w:id="12">
    <w:p w:rsidR="00C60A98" w:rsidRPr="00387467" w:rsidRDefault="00C60A98" w:rsidP="00BE5A03">
      <w:pPr>
        <w:pStyle w:val="Textonotapie"/>
        <w:spacing w:beforeAutospacing="0" w:afterAutospacing="0"/>
        <w:rPr>
          <w:sz w:val="16"/>
          <w:szCs w:val="16"/>
        </w:rPr>
      </w:pPr>
      <w:r w:rsidRPr="00387467">
        <w:rPr>
          <w:rStyle w:val="Refdenotaalpie"/>
          <w:sz w:val="16"/>
          <w:szCs w:val="16"/>
        </w:rPr>
        <w:footnoteRef/>
      </w:r>
      <w:r w:rsidRPr="00387467">
        <w:rPr>
          <w:sz w:val="16"/>
          <w:szCs w:val="16"/>
        </w:rPr>
        <w:t xml:space="preserve"> Consultas x habitantes en mayores de 15 años</w:t>
      </w:r>
    </w:p>
  </w:footnote>
  <w:footnote w:id="13">
    <w:p w:rsidR="00C60A98" w:rsidRPr="00387467" w:rsidRDefault="00C60A98" w:rsidP="00BE5A03">
      <w:pPr>
        <w:pStyle w:val="Textonotapie"/>
        <w:spacing w:beforeAutospacing="0" w:afterAutospacing="0"/>
        <w:rPr>
          <w:sz w:val="16"/>
          <w:szCs w:val="16"/>
        </w:rPr>
      </w:pPr>
      <w:r w:rsidRPr="00387467">
        <w:rPr>
          <w:rStyle w:val="Refdenotaalpie"/>
          <w:sz w:val="16"/>
          <w:szCs w:val="16"/>
        </w:rPr>
        <w:footnoteRef/>
      </w:r>
      <w:r w:rsidRPr="00387467">
        <w:rPr>
          <w:sz w:val="16"/>
          <w:szCs w:val="16"/>
        </w:rPr>
        <w:t xml:space="preserve"> Puntos porcentuales</w:t>
      </w:r>
    </w:p>
  </w:footnote>
  <w:footnote w:id="14">
    <w:p w:rsidR="00C60A98" w:rsidRPr="00FD01E0" w:rsidRDefault="00C60A98" w:rsidP="00F82E3B">
      <w:pPr>
        <w:pStyle w:val="Textonotapie"/>
        <w:rPr>
          <w:sz w:val="16"/>
          <w:szCs w:val="16"/>
        </w:rPr>
      </w:pPr>
      <w:r w:rsidRPr="00FD01E0">
        <w:rPr>
          <w:rStyle w:val="Refdenotaalpie"/>
          <w:sz w:val="16"/>
          <w:szCs w:val="16"/>
        </w:rPr>
        <w:footnoteRef/>
      </w:r>
      <w:r w:rsidRPr="00FD01E0">
        <w:rPr>
          <w:sz w:val="16"/>
          <w:szCs w:val="16"/>
        </w:rPr>
        <w:t xml:space="preserve"> Información Registros del PCTB año 2015</w:t>
      </w:r>
    </w:p>
    <w:p w:rsidR="00C60A98" w:rsidRPr="008F4FBD" w:rsidRDefault="00C60A98" w:rsidP="00F82E3B">
      <w:pPr>
        <w:pStyle w:val="Textonotapie"/>
      </w:pPr>
    </w:p>
  </w:footnote>
  <w:footnote w:id="15">
    <w:p w:rsidR="00C60A98" w:rsidRPr="006D4BC4" w:rsidRDefault="00C60A98" w:rsidP="00C228A9">
      <w:pPr>
        <w:pStyle w:val="Textonotapie"/>
        <w:rPr>
          <w:sz w:val="12"/>
          <w:szCs w:val="12"/>
        </w:rPr>
      </w:pPr>
      <w:r w:rsidRPr="006D4BC4">
        <w:rPr>
          <w:rStyle w:val="Refdenotaalpie"/>
          <w:sz w:val="12"/>
          <w:szCs w:val="12"/>
        </w:rPr>
        <w:footnoteRef/>
      </w:r>
      <w:r w:rsidRPr="006D4BC4">
        <w:rPr>
          <w:sz w:val="12"/>
          <w:szCs w:val="12"/>
        </w:rPr>
        <w:t xml:space="preserve"> Bacteriológicamente confirmados</w:t>
      </w:r>
    </w:p>
  </w:footnote>
  <w:footnote w:id="16">
    <w:p w:rsidR="00C60A98" w:rsidRPr="0020401A" w:rsidRDefault="00C60A98" w:rsidP="00C228A9">
      <w:pPr>
        <w:pStyle w:val="Textonotapie"/>
        <w:rPr>
          <w:sz w:val="12"/>
          <w:szCs w:val="12"/>
        </w:rPr>
      </w:pPr>
      <w:r w:rsidRPr="00F617F1">
        <w:rPr>
          <w:rStyle w:val="Refdenotaalpie"/>
          <w:sz w:val="12"/>
          <w:szCs w:val="12"/>
        </w:rPr>
        <w:footnoteRef/>
      </w:r>
      <w:r w:rsidRPr="0020401A">
        <w:rPr>
          <w:sz w:val="12"/>
          <w:szCs w:val="12"/>
        </w:rPr>
        <w:t>El sistema información SIVE-TB en proceso de digitación de los datos para estar disponible para evaluar las cohortes del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A98" w:rsidRDefault="00C60A98" w:rsidP="00387467">
    <w:pPr>
      <w:pStyle w:val="Encabezado"/>
      <w:spacing w:before="100" w:after="1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4255"/>
    <w:multiLevelType w:val="hybridMultilevel"/>
    <w:tmpl w:val="F0D485A2"/>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 w15:restartNumberingAfterBreak="0">
    <w:nsid w:val="03FD42F9"/>
    <w:multiLevelType w:val="hybridMultilevel"/>
    <w:tmpl w:val="578E47CC"/>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 w15:restartNumberingAfterBreak="0">
    <w:nsid w:val="06547C25"/>
    <w:multiLevelType w:val="hybridMultilevel"/>
    <w:tmpl w:val="3AC4D596"/>
    <w:lvl w:ilvl="0" w:tplc="AA20137E">
      <w:start w:val="1"/>
      <w:numFmt w:val="lowerLetter"/>
      <w:lvlText w:val="%1."/>
      <w:lvlJc w:val="left"/>
      <w:pPr>
        <w:ind w:left="1065" w:hanging="705"/>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 w15:restartNumberingAfterBreak="0">
    <w:nsid w:val="06CF581C"/>
    <w:multiLevelType w:val="hybridMultilevel"/>
    <w:tmpl w:val="DFEAB5BC"/>
    <w:lvl w:ilvl="0" w:tplc="4C0A000F">
      <w:start w:val="1"/>
      <w:numFmt w:val="decimal"/>
      <w:lvlText w:val="%1."/>
      <w:lvlJc w:val="left"/>
      <w:pPr>
        <w:ind w:left="720" w:hanging="360"/>
      </w:pPr>
      <w:rPr>
        <w:rFont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4" w15:restartNumberingAfterBreak="0">
    <w:nsid w:val="07394E7F"/>
    <w:multiLevelType w:val="multilevel"/>
    <w:tmpl w:val="3466931E"/>
    <w:lvl w:ilvl="0">
      <w:start w:val="3"/>
      <w:numFmt w:val="decimal"/>
      <w:lvlText w:val="%1"/>
      <w:lvlJc w:val="left"/>
      <w:pPr>
        <w:ind w:left="360" w:hanging="360"/>
      </w:pPr>
      <w:rPr>
        <w:rFonts w:ascii="Calibri" w:hAnsi="Calibri" w:cs="Calibri" w:hint="default"/>
        <w:color w:val="000000"/>
        <w:sz w:val="22"/>
      </w:rPr>
    </w:lvl>
    <w:lvl w:ilvl="1">
      <w:start w:val="1"/>
      <w:numFmt w:val="decimal"/>
      <w:lvlText w:val="%1.%2"/>
      <w:lvlJc w:val="left"/>
      <w:pPr>
        <w:ind w:left="720" w:hanging="360"/>
      </w:pPr>
      <w:rPr>
        <w:rFonts w:ascii="Calibri" w:hAnsi="Calibri" w:cs="Calibri" w:hint="default"/>
        <w:color w:val="000000"/>
        <w:sz w:val="22"/>
      </w:rPr>
    </w:lvl>
    <w:lvl w:ilvl="2">
      <w:start w:val="1"/>
      <w:numFmt w:val="decimal"/>
      <w:lvlText w:val="%1.%2.%3"/>
      <w:lvlJc w:val="left"/>
      <w:pPr>
        <w:ind w:left="1440" w:hanging="720"/>
      </w:pPr>
      <w:rPr>
        <w:rFonts w:ascii="Calibri" w:hAnsi="Calibri" w:cs="Calibri" w:hint="default"/>
        <w:color w:val="000000"/>
        <w:sz w:val="22"/>
      </w:rPr>
    </w:lvl>
    <w:lvl w:ilvl="3">
      <w:start w:val="1"/>
      <w:numFmt w:val="decimal"/>
      <w:lvlText w:val="%1.%2.%3.%4"/>
      <w:lvlJc w:val="left"/>
      <w:pPr>
        <w:ind w:left="1800" w:hanging="720"/>
      </w:pPr>
      <w:rPr>
        <w:rFonts w:ascii="Calibri" w:hAnsi="Calibri" w:cs="Calibri" w:hint="default"/>
        <w:color w:val="000000"/>
        <w:sz w:val="22"/>
      </w:rPr>
    </w:lvl>
    <w:lvl w:ilvl="4">
      <w:start w:val="1"/>
      <w:numFmt w:val="decimal"/>
      <w:lvlText w:val="%1.%2.%3.%4.%5"/>
      <w:lvlJc w:val="left"/>
      <w:pPr>
        <w:ind w:left="2520" w:hanging="1080"/>
      </w:pPr>
      <w:rPr>
        <w:rFonts w:ascii="Calibri" w:hAnsi="Calibri" w:cs="Calibri" w:hint="default"/>
        <w:color w:val="000000"/>
        <w:sz w:val="22"/>
      </w:rPr>
    </w:lvl>
    <w:lvl w:ilvl="5">
      <w:start w:val="1"/>
      <w:numFmt w:val="decimal"/>
      <w:lvlText w:val="%1.%2.%3.%4.%5.%6"/>
      <w:lvlJc w:val="left"/>
      <w:pPr>
        <w:ind w:left="2880" w:hanging="1080"/>
      </w:pPr>
      <w:rPr>
        <w:rFonts w:ascii="Calibri" w:hAnsi="Calibri" w:cs="Calibri" w:hint="default"/>
        <w:color w:val="000000"/>
        <w:sz w:val="22"/>
      </w:rPr>
    </w:lvl>
    <w:lvl w:ilvl="6">
      <w:start w:val="1"/>
      <w:numFmt w:val="decimal"/>
      <w:lvlText w:val="%1.%2.%3.%4.%5.%6.%7"/>
      <w:lvlJc w:val="left"/>
      <w:pPr>
        <w:ind w:left="3600" w:hanging="1440"/>
      </w:pPr>
      <w:rPr>
        <w:rFonts w:ascii="Calibri" w:hAnsi="Calibri" w:cs="Calibri" w:hint="default"/>
        <w:color w:val="000000"/>
        <w:sz w:val="22"/>
      </w:rPr>
    </w:lvl>
    <w:lvl w:ilvl="7">
      <w:start w:val="1"/>
      <w:numFmt w:val="decimal"/>
      <w:lvlText w:val="%1.%2.%3.%4.%5.%6.%7.%8"/>
      <w:lvlJc w:val="left"/>
      <w:pPr>
        <w:ind w:left="3960" w:hanging="1440"/>
      </w:pPr>
      <w:rPr>
        <w:rFonts w:ascii="Calibri" w:hAnsi="Calibri" w:cs="Calibri" w:hint="default"/>
        <w:color w:val="000000"/>
        <w:sz w:val="22"/>
      </w:rPr>
    </w:lvl>
    <w:lvl w:ilvl="8">
      <w:start w:val="1"/>
      <w:numFmt w:val="decimal"/>
      <w:lvlText w:val="%1.%2.%3.%4.%5.%6.%7.%8.%9"/>
      <w:lvlJc w:val="left"/>
      <w:pPr>
        <w:ind w:left="4680" w:hanging="1800"/>
      </w:pPr>
      <w:rPr>
        <w:rFonts w:ascii="Calibri" w:hAnsi="Calibri" w:cs="Calibri" w:hint="default"/>
        <w:color w:val="000000"/>
        <w:sz w:val="22"/>
      </w:rPr>
    </w:lvl>
  </w:abstractNum>
  <w:abstractNum w:abstractNumId="5" w15:restartNumberingAfterBreak="0">
    <w:nsid w:val="08AA0834"/>
    <w:multiLevelType w:val="hybridMultilevel"/>
    <w:tmpl w:val="D9BA66D0"/>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6" w15:restartNumberingAfterBreak="0">
    <w:nsid w:val="0A603BC2"/>
    <w:multiLevelType w:val="hybridMultilevel"/>
    <w:tmpl w:val="A3462E2C"/>
    <w:lvl w:ilvl="0" w:tplc="4C0A000F">
      <w:start w:val="1"/>
      <w:numFmt w:val="decimal"/>
      <w:lvlText w:val="%1."/>
      <w:lvlJc w:val="left"/>
      <w:pPr>
        <w:ind w:left="720" w:hanging="360"/>
      </w:pPr>
    </w:lvl>
    <w:lvl w:ilvl="1" w:tplc="4C0A0019">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7" w15:restartNumberingAfterBreak="0">
    <w:nsid w:val="0C2D3DC9"/>
    <w:multiLevelType w:val="hybridMultilevel"/>
    <w:tmpl w:val="1C2400B6"/>
    <w:lvl w:ilvl="0" w:tplc="9E4E7BF0">
      <w:start w:val="1"/>
      <w:numFmt w:val="decimal"/>
      <w:lvlText w:val="%1."/>
      <w:lvlJc w:val="left"/>
      <w:pPr>
        <w:ind w:left="765" w:hanging="405"/>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8" w15:restartNumberingAfterBreak="0">
    <w:nsid w:val="0E504804"/>
    <w:multiLevelType w:val="hybridMultilevel"/>
    <w:tmpl w:val="28B895FA"/>
    <w:lvl w:ilvl="0" w:tplc="4C0A000F">
      <w:start w:val="1"/>
      <w:numFmt w:val="decimal"/>
      <w:lvlText w:val="%1."/>
      <w:lvlJc w:val="left"/>
      <w:pPr>
        <w:ind w:left="1080" w:hanging="360"/>
      </w:pPr>
    </w:lvl>
    <w:lvl w:ilvl="1" w:tplc="4C0A0019" w:tentative="1">
      <w:start w:val="1"/>
      <w:numFmt w:val="lowerLetter"/>
      <w:lvlText w:val="%2."/>
      <w:lvlJc w:val="left"/>
      <w:pPr>
        <w:ind w:left="1800" w:hanging="360"/>
      </w:pPr>
    </w:lvl>
    <w:lvl w:ilvl="2" w:tplc="4C0A001B" w:tentative="1">
      <w:start w:val="1"/>
      <w:numFmt w:val="lowerRoman"/>
      <w:lvlText w:val="%3."/>
      <w:lvlJc w:val="right"/>
      <w:pPr>
        <w:ind w:left="2520" w:hanging="180"/>
      </w:pPr>
    </w:lvl>
    <w:lvl w:ilvl="3" w:tplc="4C0A000F" w:tentative="1">
      <w:start w:val="1"/>
      <w:numFmt w:val="decimal"/>
      <w:lvlText w:val="%4."/>
      <w:lvlJc w:val="left"/>
      <w:pPr>
        <w:ind w:left="3240" w:hanging="360"/>
      </w:pPr>
    </w:lvl>
    <w:lvl w:ilvl="4" w:tplc="4C0A0019" w:tentative="1">
      <w:start w:val="1"/>
      <w:numFmt w:val="lowerLetter"/>
      <w:lvlText w:val="%5."/>
      <w:lvlJc w:val="left"/>
      <w:pPr>
        <w:ind w:left="3960" w:hanging="360"/>
      </w:pPr>
    </w:lvl>
    <w:lvl w:ilvl="5" w:tplc="4C0A001B" w:tentative="1">
      <w:start w:val="1"/>
      <w:numFmt w:val="lowerRoman"/>
      <w:lvlText w:val="%6."/>
      <w:lvlJc w:val="right"/>
      <w:pPr>
        <w:ind w:left="4680" w:hanging="180"/>
      </w:pPr>
    </w:lvl>
    <w:lvl w:ilvl="6" w:tplc="4C0A000F" w:tentative="1">
      <w:start w:val="1"/>
      <w:numFmt w:val="decimal"/>
      <w:lvlText w:val="%7."/>
      <w:lvlJc w:val="left"/>
      <w:pPr>
        <w:ind w:left="5400" w:hanging="360"/>
      </w:pPr>
    </w:lvl>
    <w:lvl w:ilvl="7" w:tplc="4C0A0019" w:tentative="1">
      <w:start w:val="1"/>
      <w:numFmt w:val="lowerLetter"/>
      <w:lvlText w:val="%8."/>
      <w:lvlJc w:val="left"/>
      <w:pPr>
        <w:ind w:left="6120" w:hanging="360"/>
      </w:pPr>
    </w:lvl>
    <w:lvl w:ilvl="8" w:tplc="4C0A001B" w:tentative="1">
      <w:start w:val="1"/>
      <w:numFmt w:val="lowerRoman"/>
      <w:lvlText w:val="%9."/>
      <w:lvlJc w:val="right"/>
      <w:pPr>
        <w:ind w:left="6840" w:hanging="180"/>
      </w:pPr>
    </w:lvl>
  </w:abstractNum>
  <w:abstractNum w:abstractNumId="9" w15:restartNumberingAfterBreak="0">
    <w:nsid w:val="11396EB7"/>
    <w:multiLevelType w:val="hybridMultilevel"/>
    <w:tmpl w:val="BFC8DDEE"/>
    <w:lvl w:ilvl="0" w:tplc="4C0A000F">
      <w:start w:val="1"/>
      <w:numFmt w:val="decimal"/>
      <w:lvlText w:val="%1."/>
      <w:lvlJc w:val="left"/>
      <w:pPr>
        <w:ind w:left="1065" w:hanging="705"/>
      </w:pPr>
      <w:rPr>
        <w:rFonts w:hint="default"/>
      </w:rPr>
    </w:lvl>
    <w:lvl w:ilvl="1" w:tplc="4C0A0019">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0" w15:restartNumberingAfterBreak="0">
    <w:nsid w:val="188E381B"/>
    <w:multiLevelType w:val="multilevel"/>
    <w:tmpl w:val="3618856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BD61241"/>
    <w:multiLevelType w:val="hybridMultilevel"/>
    <w:tmpl w:val="A25AFAE6"/>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2" w15:restartNumberingAfterBreak="0">
    <w:nsid w:val="23301CB4"/>
    <w:multiLevelType w:val="hybridMultilevel"/>
    <w:tmpl w:val="5EAA11A8"/>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3" w15:restartNumberingAfterBreak="0">
    <w:nsid w:val="2374418F"/>
    <w:multiLevelType w:val="hybridMultilevel"/>
    <w:tmpl w:val="7D443B18"/>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4" w15:restartNumberingAfterBreak="0">
    <w:nsid w:val="243D66EE"/>
    <w:multiLevelType w:val="hybridMultilevel"/>
    <w:tmpl w:val="011E4C70"/>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5" w15:restartNumberingAfterBreak="0">
    <w:nsid w:val="268B5A23"/>
    <w:multiLevelType w:val="hybridMultilevel"/>
    <w:tmpl w:val="F6CA3F46"/>
    <w:lvl w:ilvl="0" w:tplc="4C0A0017">
      <w:start w:val="1"/>
      <w:numFmt w:val="lowerLetter"/>
      <w:lvlText w:val="%1)"/>
      <w:lvlJc w:val="left"/>
      <w:pPr>
        <w:ind w:left="720" w:hanging="360"/>
      </w:pPr>
      <w:rPr>
        <w:rFonts w:hint="default"/>
      </w:rPr>
    </w:lvl>
    <w:lvl w:ilvl="1" w:tplc="B8507382">
      <w:start w:val="3"/>
      <w:numFmt w:val="bullet"/>
      <w:lvlText w:val="•"/>
      <w:lvlJc w:val="left"/>
      <w:pPr>
        <w:ind w:left="1440" w:hanging="360"/>
      </w:pPr>
      <w:rPr>
        <w:rFonts w:ascii="Gill Sans MT" w:eastAsiaTheme="minorHAnsi" w:hAnsi="Gill Sans MT" w:cstheme="minorBidi"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6" w15:restartNumberingAfterBreak="0">
    <w:nsid w:val="2D763296"/>
    <w:multiLevelType w:val="hybridMultilevel"/>
    <w:tmpl w:val="DFBE36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060AEA"/>
    <w:multiLevelType w:val="hybridMultilevel"/>
    <w:tmpl w:val="F30C93BA"/>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8" w15:restartNumberingAfterBreak="0">
    <w:nsid w:val="30893238"/>
    <w:multiLevelType w:val="hybridMultilevel"/>
    <w:tmpl w:val="B6D6D8DC"/>
    <w:lvl w:ilvl="0" w:tplc="4C0A0001">
      <w:start w:val="1"/>
      <w:numFmt w:val="bullet"/>
      <w:lvlText w:val=""/>
      <w:lvlJc w:val="left"/>
      <w:pPr>
        <w:ind w:left="720" w:hanging="360"/>
      </w:pPr>
      <w:rPr>
        <w:rFonts w:ascii="Symbol" w:hAnsi="Symbol" w:hint="default"/>
      </w:rPr>
    </w:lvl>
    <w:lvl w:ilvl="1" w:tplc="4C0A0003">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9" w15:restartNumberingAfterBreak="0">
    <w:nsid w:val="30FC6B36"/>
    <w:multiLevelType w:val="hybridMultilevel"/>
    <w:tmpl w:val="C6A40FE0"/>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0" w15:restartNumberingAfterBreak="0">
    <w:nsid w:val="35E126CC"/>
    <w:multiLevelType w:val="hybridMultilevel"/>
    <w:tmpl w:val="BFC8DDEE"/>
    <w:lvl w:ilvl="0" w:tplc="4C0A000F">
      <w:start w:val="1"/>
      <w:numFmt w:val="decimal"/>
      <w:lvlText w:val="%1."/>
      <w:lvlJc w:val="left"/>
      <w:pPr>
        <w:ind w:left="1065" w:hanging="705"/>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1" w15:restartNumberingAfterBreak="0">
    <w:nsid w:val="360E0093"/>
    <w:multiLevelType w:val="multilevel"/>
    <w:tmpl w:val="361885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D98285F"/>
    <w:multiLevelType w:val="multilevel"/>
    <w:tmpl w:val="DFF20026"/>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188369D"/>
    <w:multiLevelType w:val="hybridMultilevel"/>
    <w:tmpl w:val="AB24F8DC"/>
    <w:lvl w:ilvl="0" w:tplc="4C0A000F">
      <w:start w:val="1"/>
      <w:numFmt w:val="decimal"/>
      <w:lvlText w:val="%1."/>
      <w:lvlJc w:val="left"/>
      <w:pPr>
        <w:ind w:left="1080" w:hanging="360"/>
      </w:pPr>
    </w:lvl>
    <w:lvl w:ilvl="1" w:tplc="4C0A0019" w:tentative="1">
      <w:start w:val="1"/>
      <w:numFmt w:val="lowerLetter"/>
      <w:lvlText w:val="%2."/>
      <w:lvlJc w:val="left"/>
      <w:pPr>
        <w:ind w:left="1800" w:hanging="360"/>
      </w:pPr>
    </w:lvl>
    <w:lvl w:ilvl="2" w:tplc="4C0A001B" w:tentative="1">
      <w:start w:val="1"/>
      <w:numFmt w:val="lowerRoman"/>
      <w:lvlText w:val="%3."/>
      <w:lvlJc w:val="right"/>
      <w:pPr>
        <w:ind w:left="2520" w:hanging="180"/>
      </w:pPr>
    </w:lvl>
    <w:lvl w:ilvl="3" w:tplc="4C0A000F" w:tentative="1">
      <w:start w:val="1"/>
      <w:numFmt w:val="decimal"/>
      <w:lvlText w:val="%4."/>
      <w:lvlJc w:val="left"/>
      <w:pPr>
        <w:ind w:left="3240" w:hanging="360"/>
      </w:pPr>
    </w:lvl>
    <w:lvl w:ilvl="4" w:tplc="4C0A0019" w:tentative="1">
      <w:start w:val="1"/>
      <w:numFmt w:val="lowerLetter"/>
      <w:lvlText w:val="%5."/>
      <w:lvlJc w:val="left"/>
      <w:pPr>
        <w:ind w:left="3960" w:hanging="360"/>
      </w:pPr>
    </w:lvl>
    <w:lvl w:ilvl="5" w:tplc="4C0A001B" w:tentative="1">
      <w:start w:val="1"/>
      <w:numFmt w:val="lowerRoman"/>
      <w:lvlText w:val="%6."/>
      <w:lvlJc w:val="right"/>
      <w:pPr>
        <w:ind w:left="4680" w:hanging="180"/>
      </w:pPr>
    </w:lvl>
    <w:lvl w:ilvl="6" w:tplc="4C0A000F" w:tentative="1">
      <w:start w:val="1"/>
      <w:numFmt w:val="decimal"/>
      <w:lvlText w:val="%7."/>
      <w:lvlJc w:val="left"/>
      <w:pPr>
        <w:ind w:left="5400" w:hanging="360"/>
      </w:pPr>
    </w:lvl>
    <w:lvl w:ilvl="7" w:tplc="4C0A0019" w:tentative="1">
      <w:start w:val="1"/>
      <w:numFmt w:val="lowerLetter"/>
      <w:lvlText w:val="%8."/>
      <w:lvlJc w:val="left"/>
      <w:pPr>
        <w:ind w:left="6120" w:hanging="360"/>
      </w:pPr>
    </w:lvl>
    <w:lvl w:ilvl="8" w:tplc="4C0A001B" w:tentative="1">
      <w:start w:val="1"/>
      <w:numFmt w:val="lowerRoman"/>
      <w:lvlText w:val="%9."/>
      <w:lvlJc w:val="right"/>
      <w:pPr>
        <w:ind w:left="6840" w:hanging="180"/>
      </w:pPr>
    </w:lvl>
  </w:abstractNum>
  <w:abstractNum w:abstractNumId="24" w15:restartNumberingAfterBreak="0">
    <w:nsid w:val="41DD6F1A"/>
    <w:multiLevelType w:val="multilevel"/>
    <w:tmpl w:val="3618856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4D7255B"/>
    <w:multiLevelType w:val="hybridMultilevel"/>
    <w:tmpl w:val="9014BBFE"/>
    <w:lvl w:ilvl="0" w:tplc="EB28DCD6">
      <w:start w:val="1"/>
      <w:numFmt w:val="decimal"/>
      <w:lvlText w:val="%1."/>
      <w:lvlJc w:val="left"/>
      <w:pPr>
        <w:ind w:left="1065" w:hanging="705"/>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6" w15:restartNumberingAfterBreak="0">
    <w:nsid w:val="463940AB"/>
    <w:multiLevelType w:val="hybridMultilevel"/>
    <w:tmpl w:val="1D1C28B6"/>
    <w:lvl w:ilvl="0" w:tplc="4C0A0003">
      <w:start w:val="1"/>
      <w:numFmt w:val="bullet"/>
      <w:lvlText w:val="o"/>
      <w:lvlJc w:val="left"/>
      <w:pPr>
        <w:ind w:left="720" w:hanging="360"/>
      </w:pPr>
      <w:rPr>
        <w:rFonts w:ascii="Courier New" w:hAnsi="Courier New" w:cs="Courier New"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7" w15:restartNumberingAfterBreak="0">
    <w:nsid w:val="46D33E75"/>
    <w:multiLevelType w:val="hybridMultilevel"/>
    <w:tmpl w:val="16ECB62A"/>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8" w15:restartNumberingAfterBreak="0">
    <w:nsid w:val="46D64396"/>
    <w:multiLevelType w:val="hybridMultilevel"/>
    <w:tmpl w:val="DDEAF472"/>
    <w:lvl w:ilvl="0" w:tplc="07245F3E">
      <w:start w:val="1"/>
      <w:numFmt w:val="decimal"/>
      <w:lvlText w:val="%1."/>
      <w:lvlJc w:val="left"/>
      <w:pPr>
        <w:ind w:left="360" w:hanging="360"/>
      </w:pPr>
      <w:rPr>
        <w:rFonts w:hint="default"/>
        <w:b/>
      </w:rPr>
    </w:lvl>
    <w:lvl w:ilvl="1" w:tplc="180A0019">
      <w:start w:val="1"/>
      <w:numFmt w:val="lowerLetter"/>
      <w:lvlText w:val="%2."/>
      <w:lvlJc w:val="left"/>
      <w:pPr>
        <w:ind w:left="1080" w:hanging="360"/>
      </w:pPr>
    </w:lvl>
    <w:lvl w:ilvl="2" w:tplc="180A001B">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9" w15:restartNumberingAfterBreak="0">
    <w:nsid w:val="487B68C4"/>
    <w:multiLevelType w:val="multilevel"/>
    <w:tmpl w:val="8CCE54FC"/>
    <w:lvl w:ilvl="0">
      <w:start w:val="1"/>
      <w:numFmt w:val="decimal"/>
      <w:lvlText w:val="%1."/>
      <w:lvlJc w:val="left"/>
      <w:pPr>
        <w:ind w:left="720" w:hanging="360"/>
      </w:p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8CF7927"/>
    <w:multiLevelType w:val="hybridMultilevel"/>
    <w:tmpl w:val="28CA2AA6"/>
    <w:lvl w:ilvl="0" w:tplc="9BA82042">
      <w:start w:val="1"/>
      <w:numFmt w:val="decimal"/>
      <w:lvlText w:val="%1."/>
      <w:lvlJc w:val="left"/>
      <w:pPr>
        <w:ind w:left="786" w:hanging="360"/>
      </w:pPr>
      <w:rPr>
        <w:b w:val="0"/>
        <w:sz w:val="22"/>
        <w:szCs w:val="22"/>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1" w15:restartNumberingAfterBreak="0">
    <w:nsid w:val="54737448"/>
    <w:multiLevelType w:val="hybridMultilevel"/>
    <w:tmpl w:val="931866C4"/>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2" w15:restartNumberingAfterBreak="0">
    <w:nsid w:val="56CF0A95"/>
    <w:multiLevelType w:val="hybridMultilevel"/>
    <w:tmpl w:val="6C547554"/>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3" w15:restartNumberingAfterBreak="0">
    <w:nsid w:val="5A03635C"/>
    <w:multiLevelType w:val="hybridMultilevel"/>
    <w:tmpl w:val="7A8A9740"/>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4" w15:restartNumberingAfterBreak="0">
    <w:nsid w:val="5AE66B9A"/>
    <w:multiLevelType w:val="multilevel"/>
    <w:tmpl w:val="9132B6C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F620EE1"/>
    <w:multiLevelType w:val="hybridMultilevel"/>
    <w:tmpl w:val="F9E0CF1C"/>
    <w:lvl w:ilvl="0" w:tplc="4C0A000F">
      <w:start w:val="1"/>
      <w:numFmt w:val="decimal"/>
      <w:lvlText w:val="%1."/>
      <w:lvlJc w:val="left"/>
      <w:pPr>
        <w:ind w:left="1080" w:hanging="360"/>
      </w:pPr>
    </w:lvl>
    <w:lvl w:ilvl="1" w:tplc="4C0A0019" w:tentative="1">
      <w:start w:val="1"/>
      <w:numFmt w:val="lowerLetter"/>
      <w:lvlText w:val="%2."/>
      <w:lvlJc w:val="left"/>
      <w:pPr>
        <w:ind w:left="1800" w:hanging="360"/>
      </w:pPr>
    </w:lvl>
    <w:lvl w:ilvl="2" w:tplc="4C0A001B" w:tentative="1">
      <w:start w:val="1"/>
      <w:numFmt w:val="lowerRoman"/>
      <w:lvlText w:val="%3."/>
      <w:lvlJc w:val="right"/>
      <w:pPr>
        <w:ind w:left="2520" w:hanging="180"/>
      </w:pPr>
    </w:lvl>
    <w:lvl w:ilvl="3" w:tplc="4C0A000F" w:tentative="1">
      <w:start w:val="1"/>
      <w:numFmt w:val="decimal"/>
      <w:lvlText w:val="%4."/>
      <w:lvlJc w:val="left"/>
      <w:pPr>
        <w:ind w:left="3240" w:hanging="360"/>
      </w:pPr>
    </w:lvl>
    <w:lvl w:ilvl="4" w:tplc="4C0A0019" w:tentative="1">
      <w:start w:val="1"/>
      <w:numFmt w:val="lowerLetter"/>
      <w:lvlText w:val="%5."/>
      <w:lvlJc w:val="left"/>
      <w:pPr>
        <w:ind w:left="3960" w:hanging="360"/>
      </w:pPr>
    </w:lvl>
    <w:lvl w:ilvl="5" w:tplc="4C0A001B" w:tentative="1">
      <w:start w:val="1"/>
      <w:numFmt w:val="lowerRoman"/>
      <w:lvlText w:val="%6."/>
      <w:lvlJc w:val="right"/>
      <w:pPr>
        <w:ind w:left="4680" w:hanging="180"/>
      </w:pPr>
    </w:lvl>
    <w:lvl w:ilvl="6" w:tplc="4C0A000F" w:tentative="1">
      <w:start w:val="1"/>
      <w:numFmt w:val="decimal"/>
      <w:lvlText w:val="%7."/>
      <w:lvlJc w:val="left"/>
      <w:pPr>
        <w:ind w:left="5400" w:hanging="360"/>
      </w:pPr>
    </w:lvl>
    <w:lvl w:ilvl="7" w:tplc="4C0A0019" w:tentative="1">
      <w:start w:val="1"/>
      <w:numFmt w:val="lowerLetter"/>
      <w:lvlText w:val="%8."/>
      <w:lvlJc w:val="left"/>
      <w:pPr>
        <w:ind w:left="6120" w:hanging="360"/>
      </w:pPr>
    </w:lvl>
    <w:lvl w:ilvl="8" w:tplc="4C0A001B" w:tentative="1">
      <w:start w:val="1"/>
      <w:numFmt w:val="lowerRoman"/>
      <w:lvlText w:val="%9."/>
      <w:lvlJc w:val="right"/>
      <w:pPr>
        <w:ind w:left="6840" w:hanging="180"/>
      </w:pPr>
    </w:lvl>
  </w:abstractNum>
  <w:abstractNum w:abstractNumId="36" w15:restartNumberingAfterBreak="0">
    <w:nsid w:val="5FC95F34"/>
    <w:multiLevelType w:val="multilevel"/>
    <w:tmpl w:val="02E6976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34111EB"/>
    <w:multiLevelType w:val="hybridMultilevel"/>
    <w:tmpl w:val="6C547554"/>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8" w15:restartNumberingAfterBreak="0">
    <w:nsid w:val="666F6C88"/>
    <w:multiLevelType w:val="hybridMultilevel"/>
    <w:tmpl w:val="F16686D6"/>
    <w:lvl w:ilvl="0" w:tplc="4C0A000F">
      <w:start w:val="1"/>
      <w:numFmt w:val="decimal"/>
      <w:lvlText w:val="%1."/>
      <w:lvlJc w:val="left"/>
      <w:pPr>
        <w:ind w:left="1080" w:hanging="360"/>
      </w:pPr>
    </w:lvl>
    <w:lvl w:ilvl="1" w:tplc="4C0A0019" w:tentative="1">
      <w:start w:val="1"/>
      <w:numFmt w:val="lowerLetter"/>
      <w:lvlText w:val="%2."/>
      <w:lvlJc w:val="left"/>
      <w:pPr>
        <w:ind w:left="1800" w:hanging="360"/>
      </w:pPr>
    </w:lvl>
    <w:lvl w:ilvl="2" w:tplc="4C0A001B" w:tentative="1">
      <w:start w:val="1"/>
      <w:numFmt w:val="lowerRoman"/>
      <w:lvlText w:val="%3."/>
      <w:lvlJc w:val="right"/>
      <w:pPr>
        <w:ind w:left="2520" w:hanging="180"/>
      </w:pPr>
    </w:lvl>
    <w:lvl w:ilvl="3" w:tplc="4C0A000F" w:tentative="1">
      <w:start w:val="1"/>
      <w:numFmt w:val="decimal"/>
      <w:lvlText w:val="%4."/>
      <w:lvlJc w:val="left"/>
      <w:pPr>
        <w:ind w:left="3240" w:hanging="360"/>
      </w:pPr>
    </w:lvl>
    <w:lvl w:ilvl="4" w:tplc="4C0A0019" w:tentative="1">
      <w:start w:val="1"/>
      <w:numFmt w:val="lowerLetter"/>
      <w:lvlText w:val="%5."/>
      <w:lvlJc w:val="left"/>
      <w:pPr>
        <w:ind w:left="3960" w:hanging="360"/>
      </w:pPr>
    </w:lvl>
    <w:lvl w:ilvl="5" w:tplc="4C0A001B" w:tentative="1">
      <w:start w:val="1"/>
      <w:numFmt w:val="lowerRoman"/>
      <w:lvlText w:val="%6."/>
      <w:lvlJc w:val="right"/>
      <w:pPr>
        <w:ind w:left="4680" w:hanging="180"/>
      </w:pPr>
    </w:lvl>
    <w:lvl w:ilvl="6" w:tplc="4C0A000F" w:tentative="1">
      <w:start w:val="1"/>
      <w:numFmt w:val="decimal"/>
      <w:lvlText w:val="%7."/>
      <w:lvlJc w:val="left"/>
      <w:pPr>
        <w:ind w:left="5400" w:hanging="360"/>
      </w:pPr>
    </w:lvl>
    <w:lvl w:ilvl="7" w:tplc="4C0A0019" w:tentative="1">
      <w:start w:val="1"/>
      <w:numFmt w:val="lowerLetter"/>
      <w:lvlText w:val="%8."/>
      <w:lvlJc w:val="left"/>
      <w:pPr>
        <w:ind w:left="6120" w:hanging="360"/>
      </w:pPr>
    </w:lvl>
    <w:lvl w:ilvl="8" w:tplc="4C0A001B" w:tentative="1">
      <w:start w:val="1"/>
      <w:numFmt w:val="lowerRoman"/>
      <w:lvlText w:val="%9."/>
      <w:lvlJc w:val="right"/>
      <w:pPr>
        <w:ind w:left="6840" w:hanging="180"/>
      </w:pPr>
    </w:lvl>
  </w:abstractNum>
  <w:abstractNum w:abstractNumId="39" w15:restartNumberingAfterBreak="0">
    <w:nsid w:val="6A1158AE"/>
    <w:multiLevelType w:val="hybridMultilevel"/>
    <w:tmpl w:val="BBDEE3E0"/>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40" w15:restartNumberingAfterBreak="0">
    <w:nsid w:val="6E144AAD"/>
    <w:multiLevelType w:val="hybridMultilevel"/>
    <w:tmpl w:val="45EE1BC8"/>
    <w:lvl w:ilvl="0" w:tplc="4C0A0017">
      <w:start w:val="1"/>
      <w:numFmt w:val="lowerLetter"/>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1" w15:restartNumberingAfterBreak="0">
    <w:nsid w:val="71285112"/>
    <w:multiLevelType w:val="hybridMultilevel"/>
    <w:tmpl w:val="9884827A"/>
    <w:lvl w:ilvl="0" w:tplc="180A0017">
      <w:start w:val="1"/>
      <w:numFmt w:val="lowerLetter"/>
      <w:lvlText w:val="%1)"/>
      <w:lvlJc w:val="left"/>
      <w:pPr>
        <w:ind w:left="720" w:hanging="36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2" w15:restartNumberingAfterBreak="0">
    <w:nsid w:val="71732AE0"/>
    <w:multiLevelType w:val="hybridMultilevel"/>
    <w:tmpl w:val="09C6531A"/>
    <w:lvl w:ilvl="0" w:tplc="4C0A0011">
      <w:start w:val="1"/>
      <w:numFmt w:val="decimal"/>
      <w:lvlText w:val="%1)"/>
      <w:lvlJc w:val="left"/>
      <w:pPr>
        <w:ind w:left="720" w:hanging="360"/>
      </w:pPr>
      <w:rPr>
        <w:rFont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43" w15:restartNumberingAfterBreak="0">
    <w:nsid w:val="720F76B2"/>
    <w:multiLevelType w:val="hybridMultilevel"/>
    <w:tmpl w:val="AFFC046C"/>
    <w:lvl w:ilvl="0" w:tplc="4C0A0011">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4" w15:restartNumberingAfterBreak="0">
    <w:nsid w:val="72DA74BF"/>
    <w:multiLevelType w:val="hybridMultilevel"/>
    <w:tmpl w:val="D3F4EAEE"/>
    <w:lvl w:ilvl="0" w:tplc="4C0A0001">
      <w:start w:val="1"/>
      <w:numFmt w:val="bullet"/>
      <w:lvlText w:val=""/>
      <w:lvlJc w:val="left"/>
      <w:pPr>
        <w:ind w:left="1068" w:hanging="360"/>
      </w:pPr>
      <w:rPr>
        <w:rFonts w:ascii="Symbol" w:hAnsi="Symbol" w:hint="default"/>
      </w:rPr>
    </w:lvl>
    <w:lvl w:ilvl="1" w:tplc="4C0A0003">
      <w:start w:val="1"/>
      <w:numFmt w:val="bullet"/>
      <w:lvlText w:val="o"/>
      <w:lvlJc w:val="left"/>
      <w:pPr>
        <w:ind w:left="1788" w:hanging="360"/>
      </w:pPr>
      <w:rPr>
        <w:rFonts w:ascii="Courier New" w:hAnsi="Courier New" w:cs="Courier New" w:hint="default"/>
      </w:rPr>
    </w:lvl>
    <w:lvl w:ilvl="2" w:tplc="37A08472">
      <w:start w:val="4"/>
      <w:numFmt w:val="bullet"/>
      <w:lvlText w:val="•"/>
      <w:lvlJc w:val="left"/>
      <w:pPr>
        <w:ind w:left="2853" w:hanging="705"/>
      </w:pPr>
      <w:rPr>
        <w:rFonts w:ascii="Gill Sans MT" w:eastAsiaTheme="minorHAnsi" w:hAnsi="Gill Sans MT" w:cstheme="minorBidi" w:hint="default"/>
      </w:rPr>
    </w:lvl>
    <w:lvl w:ilvl="3" w:tplc="4C0A0001" w:tentative="1">
      <w:start w:val="1"/>
      <w:numFmt w:val="bullet"/>
      <w:lvlText w:val=""/>
      <w:lvlJc w:val="left"/>
      <w:pPr>
        <w:ind w:left="3228" w:hanging="360"/>
      </w:pPr>
      <w:rPr>
        <w:rFonts w:ascii="Symbol" w:hAnsi="Symbol" w:hint="default"/>
      </w:rPr>
    </w:lvl>
    <w:lvl w:ilvl="4" w:tplc="4C0A0003" w:tentative="1">
      <w:start w:val="1"/>
      <w:numFmt w:val="bullet"/>
      <w:lvlText w:val="o"/>
      <w:lvlJc w:val="left"/>
      <w:pPr>
        <w:ind w:left="3948" w:hanging="360"/>
      </w:pPr>
      <w:rPr>
        <w:rFonts w:ascii="Courier New" w:hAnsi="Courier New" w:cs="Courier New" w:hint="default"/>
      </w:rPr>
    </w:lvl>
    <w:lvl w:ilvl="5" w:tplc="4C0A0005" w:tentative="1">
      <w:start w:val="1"/>
      <w:numFmt w:val="bullet"/>
      <w:lvlText w:val=""/>
      <w:lvlJc w:val="left"/>
      <w:pPr>
        <w:ind w:left="4668" w:hanging="360"/>
      </w:pPr>
      <w:rPr>
        <w:rFonts w:ascii="Wingdings" w:hAnsi="Wingdings" w:hint="default"/>
      </w:rPr>
    </w:lvl>
    <w:lvl w:ilvl="6" w:tplc="4C0A0001" w:tentative="1">
      <w:start w:val="1"/>
      <w:numFmt w:val="bullet"/>
      <w:lvlText w:val=""/>
      <w:lvlJc w:val="left"/>
      <w:pPr>
        <w:ind w:left="5388" w:hanging="360"/>
      </w:pPr>
      <w:rPr>
        <w:rFonts w:ascii="Symbol" w:hAnsi="Symbol" w:hint="default"/>
      </w:rPr>
    </w:lvl>
    <w:lvl w:ilvl="7" w:tplc="4C0A0003" w:tentative="1">
      <w:start w:val="1"/>
      <w:numFmt w:val="bullet"/>
      <w:lvlText w:val="o"/>
      <w:lvlJc w:val="left"/>
      <w:pPr>
        <w:ind w:left="6108" w:hanging="360"/>
      </w:pPr>
      <w:rPr>
        <w:rFonts w:ascii="Courier New" w:hAnsi="Courier New" w:cs="Courier New" w:hint="default"/>
      </w:rPr>
    </w:lvl>
    <w:lvl w:ilvl="8" w:tplc="4C0A0005" w:tentative="1">
      <w:start w:val="1"/>
      <w:numFmt w:val="bullet"/>
      <w:lvlText w:val=""/>
      <w:lvlJc w:val="left"/>
      <w:pPr>
        <w:ind w:left="6828" w:hanging="360"/>
      </w:pPr>
      <w:rPr>
        <w:rFonts w:ascii="Wingdings" w:hAnsi="Wingdings" w:hint="default"/>
      </w:rPr>
    </w:lvl>
  </w:abstractNum>
  <w:abstractNum w:abstractNumId="45" w15:restartNumberingAfterBreak="0">
    <w:nsid w:val="77097504"/>
    <w:multiLevelType w:val="hybridMultilevel"/>
    <w:tmpl w:val="644C3C9E"/>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6" w15:restartNumberingAfterBreak="0">
    <w:nsid w:val="77682BFC"/>
    <w:multiLevelType w:val="hybridMultilevel"/>
    <w:tmpl w:val="A96C0450"/>
    <w:lvl w:ilvl="0" w:tplc="4C0A0011">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7" w15:restartNumberingAfterBreak="0">
    <w:nsid w:val="79045391"/>
    <w:multiLevelType w:val="hybridMultilevel"/>
    <w:tmpl w:val="506CD654"/>
    <w:lvl w:ilvl="0" w:tplc="4C0A000F">
      <w:start w:val="1"/>
      <w:numFmt w:val="decimal"/>
      <w:lvlText w:val="%1."/>
      <w:lvlJc w:val="left"/>
      <w:pPr>
        <w:ind w:left="1287" w:hanging="360"/>
      </w:pPr>
    </w:lvl>
    <w:lvl w:ilvl="1" w:tplc="4C0A0019" w:tentative="1">
      <w:start w:val="1"/>
      <w:numFmt w:val="lowerLetter"/>
      <w:lvlText w:val="%2."/>
      <w:lvlJc w:val="left"/>
      <w:pPr>
        <w:ind w:left="2007" w:hanging="360"/>
      </w:pPr>
    </w:lvl>
    <w:lvl w:ilvl="2" w:tplc="4C0A001B" w:tentative="1">
      <w:start w:val="1"/>
      <w:numFmt w:val="lowerRoman"/>
      <w:lvlText w:val="%3."/>
      <w:lvlJc w:val="right"/>
      <w:pPr>
        <w:ind w:left="2727" w:hanging="180"/>
      </w:pPr>
    </w:lvl>
    <w:lvl w:ilvl="3" w:tplc="4C0A000F" w:tentative="1">
      <w:start w:val="1"/>
      <w:numFmt w:val="decimal"/>
      <w:lvlText w:val="%4."/>
      <w:lvlJc w:val="left"/>
      <w:pPr>
        <w:ind w:left="3447" w:hanging="360"/>
      </w:pPr>
    </w:lvl>
    <w:lvl w:ilvl="4" w:tplc="4C0A0019" w:tentative="1">
      <w:start w:val="1"/>
      <w:numFmt w:val="lowerLetter"/>
      <w:lvlText w:val="%5."/>
      <w:lvlJc w:val="left"/>
      <w:pPr>
        <w:ind w:left="4167" w:hanging="360"/>
      </w:pPr>
    </w:lvl>
    <w:lvl w:ilvl="5" w:tplc="4C0A001B" w:tentative="1">
      <w:start w:val="1"/>
      <w:numFmt w:val="lowerRoman"/>
      <w:lvlText w:val="%6."/>
      <w:lvlJc w:val="right"/>
      <w:pPr>
        <w:ind w:left="4887" w:hanging="180"/>
      </w:pPr>
    </w:lvl>
    <w:lvl w:ilvl="6" w:tplc="4C0A000F" w:tentative="1">
      <w:start w:val="1"/>
      <w:numFmt w:val="decimal"/>
      <w:lvlText w:val="%7."/>
      <w:lvlJc w:val="left"/>
      <w:pPr>
        <w:ind w:left="5607" w:hanging="360"/>
      </w:pPr>
    </w:lvl>
    <w:lvl w:ilvl="7" w:tplc="4C0A0019" w:tentative="1">
      <w:start w:val="1"/>
      <w:numFmt w:val="lowerLetter"/>
      <w:lvlText w:val="%8."/>
      <w:lvlJc w:val="left"/>
      <w:pPr>
        <w:ind w:left="6327" w:hanging="360"/>
      </w:pPr>
    </w:lvl>
    <w:lvl w:ilvl="8" w:tplc="4C0A001B" w:tentative="1">
      <w:start w:val="1"/>
      <w:numFmt w:val="lowerRoman"/>
      <w:lvlText w:val="%9."/>
      <w:lvlJc w:val="right"/>
      <w:pPr>
        <w:ind w:left="7047" w:hanging="180"/>
      </w:pPr>
    </w:lvl>
  </w:abstractNum>
  <w:abstractNum w:abstractNumId="48" w15:restartNumberingAfterBreak="0">
    <w:nsid w:val="7A5B39E5"/>
    <w:multiLevelType w:val="hybridMultilevel"/>
    <w:tmpl w:val="67D82722"/>
    <w:lvl w:ilvl="0" w:tplc="4C0A000F">
      <w:start w:val="1"/>
      <w:numFmt w:val="decimal"/>
      <w:lvlText w:val="%1."/>
      <w:lvlJc w:val="left"/>
      <w:pPr>
        <w:ind w:left="1080" w:hanging="360"/>
      </w:pPr>
    </w:lvl>
    <w:lvl w:ilvl="1" w:tplc="4C0A0019" w:tentative="1">
      <w:start w:val="1"/>
      <w:numFmt w:val="lowerLetter"/>
      <w:lvlText w:val="%2."/>
      <w:lvlJc w:val="left"/>
      <w:pPr>
        <w:ind w:left="1800" w:hanging="360"/>
      </w:pPr>
    </w:lvl>
    <w:lvl w:ilvl="2" w:tplc="4C0A001B" w:tentative="1">
      <w:start w:val="1"/>
      <w:numFmt w:val="lowerRoman"/>
      <w:lvlText w:val="%3."/>
      <w:lvlJc w:val="right"/>
      <w:pPr>
        <w:ind w:left="2520" w:hanging="180"/>
      </w:pPr>
    </w:lvl>
    <w:lvl w:ilvl="3" w:tplc="4C0A000F" w:tentative="1">
      <w:start w:val="1"/>
      <w:numFmt w:val="decimal"/>
      <w:lvlText w:val="%4."/>
      <w:lvlJc w:val="left"/>
      <w:pPr>
        <w:ind w:left="3240" w:hanging="360"/>
      </w:pPr>
    </w:lvl>
    <w:lvl w:ilvl="4" w:tplc="4C0A0019" w:tentative="1">
      <w:start w:val="1"/>
      <w:numFmt w:val="lowerLetter"/>
      <w:lvlText w:val="%5."/>
      <w:lvlJc w:val="left"/>
      <w:pPr>
        <w:ind w:left="3960" w:hanging="360"/>
      </w:pPr>
    </w:lvl>
    <w:lvl w:ilvl="5" w:tplc="4C0A001B" w:tentative="1">
      <w:start w:val="1"/>
      <w:numFmt w:val="lowerRoman"/>
      <w:lvlText w:val="%6."/>
      <w:lvlJc w:val="right"/>
      <w:pPr>
        <w:ind w:left="4680" w:hanging="180"/>
      </w:pPr>
    </w:lvl>
    <w:lvl w:ilvl="6" w:tplc="4C0A000F" w:tentative="1">
      <w:start w:val="1"/>
      <w:numFmt w:val="decimal"/>
      <w:lvlText w:val="%7."/>
      <w:lvlJc w:val="left"/>
      <w:pPr>
        <w:ind w:left="5400" w:hanging="360"/>
      </w:pPr>
    </w:lvl>
    <w:lvl w:ilvl="7" w:tplc="4C0A0019" w:tentative="1">
      <w:start w:val="1"/>
      <w:numFmt w:val="lowerLetter"/>
      <w:lvlText w:val="%8."/>
      <w:lvlJc w:val="left"/>
      <w:pPr>
        <w:ind w:left="6120" w:hanging="360"/>
      </w:pPr>
    </w:lvl>
    <w:lvl w:ilvl="8" w:tplc="4C0A001B" w:tentative="1">
      <w:start w:val="1"/>
      <w:numFmt w:val="lowerRoman"/>
      <w:lvlText w:val="%9."/>
      <w:lvlJc w:val="right"/>
      <w:pPr>
        <w:ind w:left="6840" w:hanging="180"/>
      </w:pPr>
    </w:lvl>
  </w:abstractNum>
  <w:num w:numId="1">
    <w:abstractNumId w:val="39"/>
  </w:num>
  <w:num w:numId="2">
    <w:abstractNumId w:val="25"/>
  </w:num>
  <w:num w:numId="3">
    <w:abstractNumId w:val="3"/>
  </w:num>
  <w:num w:numId="4">
    <w:abstractNumId w:val="16"/>
  </w:num>
  <w:num w:numId="5">
    <w:abstractNumId w:val="37"/>
  </w:num>
  <w:num w:numId="6">
    <w:abstractNumId w:val="5"/>
  </w:num>
  <w:num w:numId="7">
    <w:abstractNumId w:val="38"/>
  </w:num>
  <w:num w:numId="8">
    <w:abstractNumId w:val="17"/>
  </w:num>
  <w:num w:numId="9">
    <w:abstractNumId w:val="23"/>
  </w:num>
  <w:num w:numId="10">
    <w:abstractNumId w:val="19"/>
  </w:num>
  <w:num w:numId="11">
    <w:abstractNumId w:val="47"/>
  </w:num>
  <w:num w:numId="12">
    <w:abstractNumId w:val="48"/>
  </w:num>
  <w:num w:numId="13">
    <w:abstractNumId w:val="27"/>
  </w:num>
  <w:num w:numId="14">
    <w:abstractNumId w:val="35"/>
  </w:num>
  <w:num w:numId="15">
    <w:abstractNumId w:val="7"/>
  </w:num>
  <w:num w:numId="16">
    <w:abstractNumId w:val="2"/>
  </w:num>
  <w:num w:numId="17">
    <w:abstractNumId w:val="20"/>
  </w:num>
  <w:num w:numId="18">
    <w:abstractNumId w:val="9"/>
  </w:num>
  <w:num w:numId="19">
    <w:abstractNumId w:val="41"/>
  </w:num>
  <w:num w:numId="20">
    <w:abstractNumId w:val="28"/>
  </w:num>
  <w:num w:numId="21">
    <w:abstractNumId w:val="40"/>
  </w:num>
  <w:num w:numId="22">
    <w:abstractNumId w:val="32"/>
  </w:num>
  <w:num w:numId="23">
    <w:abstractNumId w:val="1"/>
  </w:num>
  <w:num w:numId="24">
    <w:abstractNumId w:val="45"/>
  </w:num>
  <w:num w:numId="25">
    <w:abstractNumId w:val="8"/>
  </w:num>
  <w:num w:numId="26">
    <w:abstractNumId w:val="11"/>
  </w:num>
  <w:num w:numId="27">
    <w:abstractNumId w:val="44"/>
  </w:num>
  <w:num w:numId="28">
    <w:abstractNumId w:val="0"/>
  </w:num>
  <w:num w:numId="29">
    <w:abstractNumId w:val="10"/>
  </w:num>
  <w:num w:numId="30">
    <w:abstractNumId w:val="22"/>
  </w:num>
  <w:num w:numId="31">
    <w:abstractNumId w:val="34"/>
  </w:num>
  <w:num w:numId="32">
    <w:abstractNumId w:val="4"/>
  </w:num>
  <w:num w:numId="33">
    <w:abstractNumId w:val="26"/>
  </w:num>
  <w:num w:numId="34">
    <w:abstractNumId w:val="42"/>
  </w:num>
  <w:num w:numId="35">
    <w:abstractNumId w:val="15"/>
  </w:num>
  <w:num w:numId="36">
    <w:abstractNumId w:val="46"/>
  </w:num>
  <w:num w:numId="37">
    <w:abstractNumId w:val="43"/>
  </w:num>
  <w:num w:numId="38">
    <w:abstractNumId w:val="24"/>
  </w:num>
  <w:num w:numId="39">
    <w:abstractNumId w:val="29"/>
  </w:num>
  <w:num w:numId="40">
    <w:abstractNumId w:val="21"/>
  </w:num>
  <w:num w:numId="41">
    <w:abstractNumId w:val="6"/>
  </w:num>
  <w:num w:numId="42">
    <w:abstractNumId w:val="30"/>
  </w:num>
  <w:num w:numId="43">
    <w:abstractNumId w:val="31"/>
  </w:num>
  <w:num w:numId="44">
    <w:abstractNumId w:val="33"/>
  </w:num>
  <w:num w:numId="45">
    <w:abstractNumId w:val="14"/>
  </w:num>
  <w:num w:numId="46">
    <w:abstractNumId w:val="36"/>
  </w:num>
  <w:num w:numId="47">
    <w:abstractNumId w:val="12"/>
  </w:num>
  <w:num w:numId="48">
    <w:abstractNumId w:val="13"/>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7AA"/>
    <w:rsid w:val="0000209A"/>
    <w:rsid w:val="00003B2A"/>
    <w:rsid w:val="00006125"/>
    <w:rsid w:val="00020BCB"/>
    <w:rsid w:val="00020ECF"/>
    <w:rsid w:val="00025D4F"/>
    <w:rsid w:val="00046CA4"/>
    <w:rsid w:val="00050DAC"/>
    <w:rsid w:val="000525A4"/>
    <w:rsid w:val="00060F32"/>
    <w:rsid w:val="000701C7"/>
    <w:rsid w:val="0008434A"/>
    <w:rsid w:val="00087FA5"/>
    <w:rsid w:val="00090306"/>
    <w:rsid w:val="0009419B"/>
    <w:rsid w:val="000A763E"/>
    <w:rsid w:val="000B05F6"/>
    <w:rsid w:val="000B1428"/>
    <w:rsid w:val="000D4D77"/>
    <w:rsid w:val="000D70F7"/>
    <w:rsid w:val="000F1D97"/>
    <w:rsid w:val="000F6FC1"/>
    <w:rsid w:val="001005B0"/>
    <w:rsid w:val="0010634C"/>
    <w:rsid w:val="0011110A"/>
    <w:rsid w:val="00123948"/>
    <w:rsid w:val="001330A3"/>
    <w:rsid w:val="00136127"/>
    <w:rsid w:val="00136B90"/>
    <w:rsid w:val="00140E86"/>
    <w:rsid w:val="00142956"/>
    <w:rsid w:val="0015716B"/>
    <w:rsid w:val="00164A46"/>
    <w:rsid w:val="00165782"/>
    <w:rsid w:val="00172B69"/>
    <w:rsid w:val="00177DEC"/>
    <w:rsid w:val="0018155D"/>
    <w:rsid w:val="00186C2B"/>
    <w:rsid w:val="00195374"/>
    <w:rsid w:val="001A282F"/>
    <w:rsid w:val="001A5C8B"/>
    <w:rsid w:val="001A7EEF"/>
    <w:rsid w:val="001B4173"/>
    <w:rsid w:val="001C178C"/>
    <w:rsid w:val="001C21FF"/>
    <w:rsid w:val="001C2738"/>
    <w:rsid w:val="001C6CF5"/>
    <w:rsid w:val="001D01A6"/>
    <w:rsid w:val="001D2DA7"/>
    <w:rsid w:val="001E6EF4"/>
    <w:rsid w:val="001F196B"/>
    <w:rsid w:val="001F2690"/>
    <w:rsid w:val="001F4268"/>
    <w:rsid w:val="001F55B2"/>
    <w:rsid w:val="002062DD"/>
    <w:rsid w:val="002066FF"/>
    <w:rsid w:val="002075E9"/>
    <w:rsid w:val="00225332"/>
    <w:rsid w:val="00227A05"/>
    <w:rsid w:val="00245CE4"/>
    <w:rsid w:val="0026371C"/>
    <w:rsid w:val="00265B1D"/>
    <w:rsid w:val="002932C6"/>
    <w:rsid w:val="002934CF"/>
    <w:rsid w:val="00293FF7"/>
    <w:rsid w:val="002940FB"/>
    <w:rsid w:val="002B72C6"/>
    <w:rsid w:val="002B74E8"/>
    <w:rsid w:val="002C026A"/>
    <w:rsid w:val="002D57E7"/>
    <w:rsid w:val="002E4DEB"/>
    <w:rsid w:val="002E5CA8"/>
    <w:rsid w:val="002F3C57"/>
    <w:rsid w:val="00300345"/>
    <w:rsid w:val="0030348E"/>
    <w:rsid w:val="003067AA"/>
    <w:rsid w:val="00314BB1"/>
    <w:rsid w:val="00315229"/>
    <w:rsid w:val="003219D4"/>
    <w:rsid w:val="00325FB4"/>
    <w:rsid w:val="003270E3"/>
    <w:rsid w:val="00344161"/>
    <w:rsid w:val="003500B7"/>
    <w:rsid w:val="003541BF"/>
    <w:rsid w:val="003556F1"/>
    <w:rsid w:val="0036265F"/>
    <w:rsid w:val="00376D6C"/>
    <w:rsid w:val="003833AB"/>
    <w:rsid w:val="00384711"/>
    <w:rsid w:val="00387467"/>
    <w:rsid w:val="00391A93"/>
    <w:rsid w:val="003943AE"/>
    <w:rsid w:val="003965B4"/>
    <w:rsid w:val="003A4D22"/>
    <w:rsid w:val="003A799B"/>
    <w:rsid w:val="003B0A5A"/>
    <w:rsid w:val="003B6FA9"/>
    <w:rsid w:val="003C1C2B"/>
    <w:rsid w:val="003C2325"/>
    <w:rsid w:val="003D7304"/>
    <w:rsid w:val="003E0A1D"/>
    <w:rsid w:val="003F1B79"/>
    <w:rsid w:val="003F78BC"/>
    <w:rsid w:val="0041130F"/>
    <w:rsid w:val="00417C8F"/>
    <w:rsid w:val="004363BD"/>
    <w:rsid w:val="004364BE"/>
    <w:rsid w:val="00436B06"/>
    <w:rsid w:val="0045186B"/>
    <w:rsid w:val="00455431"/>
    <w:rsid w:val="004568C2"/>
    <w:rsid w:val="00460338"/>
    <w:rsid w:val="004663EC"/>
    <w:rsid w:val="00476E77"/>
    <w:rsid w:val="004A1D6E"/>
    <w:rsid w:val="004D04D6"/>
    <w:rsid w:val="004D158A"/>
    <w:rsid w:val="004D1B06"/>
    <w:rsid w:val="004D6926"/>
    <w:rsid w:val="0052433A"/>
    <w:rsid w:val="00530812"/>
    <w:rsid w:val="00540CAD"/>
    <w:rsid w:val="00542C7E"/>
    <w:rsid w:val="0055229C"/>
    <w:rsid w:val="00555730"/>
    <w:rsid w:val="0055599C"/>
    <w:rsid w:val="00560EE8"/>
    <w:rsid w:val="00567235"/>
    <w:rsid w:val="005A2F64"/>
    <w:rsid w:val="005A44AB"/>
    <w:rsid w:val="005B5C7D"/>
    <w:rsid w:val="005E61E4"/>
    <w:rsid w:val="005E6E04"/>
    <w:rsid w:val="005F0D81"/>
    <w:rsid w:val="005F3D76"/>
    <w:rsid w:val="006019A0"/>
    <w:rsid w:val="00603B69"/>
    <w:rsid w:val="0061457B"/>
    <w:rsid w:val="006150F3"/>
    <w:rsid w:val="006166C7"/>
    <w:rsid w:val="006174EE"/>
    <w:rsid w:val="00647C03"/>
    <w:rsid w:val="00651331"/>
    <w:rsid w:val="006605DA"/>
    <w:rsid w:val="00692BDB"/>
    <w:rsid w:val="00694012"/>
    <w:rsid w:val="00694C62"/>
    <w:rsid w:val="006E13BD"/>
    <w:rsid w:val="006F2350"/>
    <w:rsid w:val="00702D08"/>
    <w:rsid w:val="0070314F"/>
    <w:rsid w:val="00703FE1"/>
    <w:rsid w:val="00706CCB"/>
    <w:rsid w:val="00716526"/>
    <w:rsid w:val="00733367"/>
    <w:rsid w:val="00733923"/>
    <w:rsid w:val="00736C03"/>
    <w:rsid w:val="00760AA1"/>
    <w:rsid w:val="0076291A"/>
    <w:rsid w:val="00764EB4"/>
    <w:rsid w:val="0077123C"/>
    <w:rsid w:val="00783E4F"/>
    <w:rsid w:val="0079381B"/>
    <w:rsid w:val="007A0B02"/>
    <w:rsid w:val="007A64E3"/>
    <w:rsid w:val="007C383A"/>
    <w:rsid w:val="007C4273"/>
    <w:rsid w:val="007C640A"/>
    <w:rsid w:val="007C6974"/>
    <w:rsid w:val="007C7E00"/>
    <w:rsid w:val="007E1C6B"/>
    <w:rsid w:val="007E2C99"/>
    <w:rsid w:val="007E3412"/>
    <w:rsid w:val="007F2DE5"/>
    <w:rsid w:val="007F5700"/>
    <w:rsid w:val="00800325"/>
    <w:rsid w:val="00800F0D"/>
    <w:rsid w:val="00801293"/>
    <w:rsid w:val="00803F88"/>
    <w:rsid w:val="008114CA"/>
    <w:rsid w:val="008145F2"/>
    <w:rsid w:val="00835B7E"/>
    <w:rsid w:val="00846738"/>
    <w:rsid w:val="008523A7"/>
    <w:rsid w:val="00861327"/>
    <w:rsid w:val="008A2824"/>
    <w:rsid w:val="008A3178"/>
    <w:rsid w:val="008B35C6"/>
    <w:rsid w:val="008C2A0E"/>
    <w:rsid w:val="008D2CC8"/>
    <w:rsid w:val="008E137D"/>
    <w:rsid w:val="008E1C78"/>
    <w:rsid w:val="008E4968"/>
    <w:rsid w:val="008E7ABC"/>
    <w:rsid w:val="009065DC"/>
    <w:rsid w:val="00906BAC"/>
    <w:rsid w:val="009124F5"/>
    <w:rsid w:val="00920874"/>
    <w:rsid w:val="00923F96"/>
    <w:rsid w:val="00936C26"/>
    <w:rsid w:val="00936C68"/>
    <w:rsid w:val="0094629D"/>
    <w:rsid w:val="00957655"/>
    <w:rsid w:val="009611A0"/>
    <w:rsid w:val="00961DEC"/>
    <w:rsid w:val="00966A55"/>
    <w:rsid w:val="00990ABE"/>
    <w:rsid w:val="009A37E0"/>
    <w:rsid w:val="009A495B"/>
    <w:rsid w:val="009C15E7"/>
    <w:rsid w:val="009C1749"/>
    <w:rsid w:val="009D4D66"/>
    <w:rsid w:val="009E1BA4"/>
    <w:rsid w:val="009E333B"/>
    <w:rsid w:val="00A20F2B"/>
    <w:rsid w:val="00A2617E"/>
    <w:rsid w:val="00A27E81"/>
    <w:rsid w:val="00A51224"/>
    <w:rsid w:val="00A76608"/>
    <w:rsid w:val="00A8116F"/>
    <w:rsid w:val="00A814BB"/>
    <w:rsid w:val="00A818B2"/>
    <w:rsid w:val="00A83144"/>
    <w:rsid w:val="00A911BD"/>
    <w:rsid w:val="00A9203C"/>
    <w:rsid w:val="00A932DF"/>
    <w:rsid w:val="00A946E5"/>
    <w:rsid w:val="00A94B42"/>
    <w:rsid w:val="00A96FC7"/>
    <w:rsid w:val="00AB29D9"/>
    <w:rsid w:val="00AC19BE"/>
    <w:rsid w:val="00AC1D12"/>
    <w:rsid w:val="00AC4DA2"/>
    <w:rsid w:val="00AC60F6"/>
    <w:rsid w:val="00AE3C18"/>
    <w:rsid w:val="00B03427"/>
    <w:rsid w:val="00B07934"/>
    <w:rsid w:val="00B2468C"/>
    <w:rsid w:val="00B36A5F"/>
    <w:rsid w:val="00B40925"/>
    <w:rsid w:val="00B40B25"/>
    <w:rsid w:val="00B448EE"/>
    <w:rsid w:val="00B44F64"/>
    <w:rsid w:val="00B47DD0"/>
    <w:rsid w:val="00B560DC"/>
    <w:rsid w:val="00B564E7"/>
    <w:rsid w:val="00B76051"/>
    <w:rsid w:val="00B909AE"/>
    <w:rsid w:val="00B92C7E"/>
    <w:rsid w:val="00BA09E0"/>
    <w:rsid w:val="00BC0150"/>
    <w:rsid w:val="00BE02B0"/>
    <w:rsid w:val="00BE5A03"/>
    <w:rsid w:val="00BE6875"/>
    <w:rsid w:val="00BE6C8E"/>
    <w:rsid w:val="00BF3F94"/>
    <w:rsid w:val="00BF4CE9"/>
    <w:rsid w:val="00C070A3"/>
    <w:rsid w:val="00C075CC"/>
    <w:rsid w:val="00C213D8"/>
    <w:rsid w:val="00C228A9"/>
    <w:rsid w:val="00C26CC3"/>
    <w:rsid w:val="00C371BE"/>
    <w:rsid w:val="00C5285E"/>
    <w:rsid w:val="00C543E8"/>
    <w:rsid w:val="00C60A98"/>
    <w:rsid w:val="00C61254"/>
    <w:rsid w:val="00C63D72"/>
    <w:rsid w:val="00C75933"/>
    <w:rsid w:val="00C75BB0"/>
    <w:rsid w:val="00C85828"/>
    <w:rsid w:val="00C917F6"/>
    <w:rsid w:val="00C91DC3"/>
    <w:rsid w:val="00C93D5E"/>
    <w:rsid w:val="00C94BE9"/>
    <w:rsid w:val="00CA457F"/>
    <w:rsid w:val="00CA5923"/>
    <w:rsid w:val="00CB4D16"/>
    <w:rsid w:val="00CC7295"/>
    <w:rsid w:val="00CD1135"/>
    <w:rsid w:val="00CD4F5F"/>
    <w:rsid w:val="00CF4982"/>
    <w:rsid w:val="00CF4B6C"/>
    <w:rsid w:val="00D015D6"/>
    <w:rsid w:val="00D05C73"/>
    <w:rsid w:val="00D16845"/>
    <w:rsid w:val="00D2596C"/>
    <w:rsid w:val="00D265F7"/>
    <w:rsid w:val="00D470F2"/>
    <w:rsid w:val="00D726FD"/>
    <w:rsid w:val="00D83E86"/>
    <w:rsid w:val="00DA1E8D"/>
    <w:rsid w:val="00DB3D07"/>
    <w:rsid w:val="00DC315A"/>
    <w:rsid w:val="00DE12F4"/>
    <w:rsid w:val="00DE249C"/>
    <w:rsid w:val="00DE3B30"/>
    <w:rsid w:val="00DF442C"/>
    <w:rsid w:val="00E02BE1"/>
    <w:rsid w:val="00E12263"/>
    <w:rsid w:val="00E12BDF"/>
    <w:rsid w:val="00E20C85"/>
    <w:rsid w:val="00E21113"/>
    <w:rsid w:val="00E473FA"/>
    <w:rsid w:val="00E47DC6"/>
    <w:rsid w:val="00E6535B"/>
    <w:rsid w:val="00E8453A"/>
    <w:rsid w:val="00E8729C"/>
    <w:rsid w:val="00E93B4F"/>
    <w:rsid w:val="00E96208"/>
    <w:rsid w:val="00EA491D"/>
    <w:rsid w:val="00EB662A"/>
    <w:rsid w:val="00EB6A4B"/>
    <w:rsid w:val="00ED20BF"/>
    <w:rsid w:val="00EE31A5"/>
    <w:rsid w:val="00EF40FB"/>
    <w:rsid w:val="00F2112B"/>
    <w:rsid w:val="00F316AB"/>
    <w:rsid w:val="00F34C92"/>
    <w:rsid w:val="00F64A54"/>
    <w:rsid w:val="00F82E3B"/>
    <w:rsid w:val="00F84A4B"/>
    <w:rsid w:val="00F91CF8"/>
    <w:rsid w:val="00F93B45"/>
    <w:rsid w:val="00FA10AC"/>
    <w:rsid w:val="00FA3FAD"/>
    <w:rsid w:val="00FB4B60"/>
    <w:rsid w:val="00FB53B6"/>
    <w:rsid w:val="00FC4BD7"/>
    <w:rsid w:val="00FC616E"/>
    <w:rsid w:val="00FD01E0"/>
    <w:rsid w:val="00FD3C91"/>
    <w:rsid w:val="00FE62CD"/>
    <w:rsid w:val="00FE7653"/>
    <w:rsid w:val="00FF4BC0"/>
    <w:rsid w:val="00FF56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47BCD"/>
  <w15:docId w15:val="{BC038D24-2AFC-409E-8412-D9ABD0E2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FB4"/>
    <w:pPr>
      <w:spacing w:before="100" w:beforeAutospacing="1" w:after="100" w:afterAutospacing="1" w:line="360" w:lineRule="auto"/>
      <w:jc w:val="both"/>
    </w:pPr>
    <w:rPr>
      <w:rFonts w:ascii="Gill Sans MT" w:hAnsi="Gill Sans MT"/>
    </w:rPr>
  </w:style>
  <w:style w:type="paragraph" w:styleId="Ttulo1">
    <w:name w:val="heading 1"/>
    <w:basedOn w:val="Normal"/>
    <w:next w:val="Normal"/>
    <w:link w:val="Ttulo1Car"/>
    <w:uiPriority w:val="9"/>
    <w:qFormat/>
    <w:rsid w:val="001C6CF5"/>
    <w:pPr>
      <w:keepNext/>
      <w:keepLines/>
      <w:outlineLvl w:val="0"/>
    </w:pPr>
    <w:rPr>
      <w:rFonts w:eastAsiaTheme="majorEastAsia" w:cstheme="majorBidi"/>
      <w:b/>
      <w:bCs/>
      <w:caps/>
      <w:sz w:val="28"/>
      <w:szCs w:val="28"/>
    </w:rPr>
  </w:style>
  <w:style w:type="paragraph" w:styleId="Ttulo2">
    <w:name w:val="heading 2"/>
    <w:basedOn w:val="Normal"/>
    <w:next w:val="Normal"/>
    <w:link w:val="Ttulo2Car"/>
    <w:uiPriority w:val="9"/>
    <w:unhideWhenUsed/>
    <w:qFormat/>
    <w:rsid w:val="001C6CF5"/>
    <w:pPr>
      <w:keepNext/>
      <w:keepLines/>
      <w:spacing w:before="40" w:after="0"/>
      <w:outlineLvl w:val="1"/>
    </w:pPr>
    <w:rPr>
      <w:rFonts w:eastAsiaTheme="majorEastAsia" w:cstheme="majorBidi"/>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3067AA"/>
    <w:pPr>
      <w:pBdr>
        <w:bottom w:val="single" w:sz="8" w:space="4" w:color="5B9BD5" w:themeColor="accent1"/>
      </w:pBdr>
      <w:spacing w:before="0" w:after="300"/>
      <w:contextualSpacing/>
    </w:pPr>
    <w:rPr>
      <w:rFonts w:eastAsiaTheme="majorEastAsia" w:cstheme="majorBidi"/>
      <w:spacing w:val="5"/>
      <w:kern w:val="28"/>
      <w:sz w:val="28"/>
      <w:szCs w:val="52"/>
    </w:rPr>
  </w:style>
  <w:style w:type="character" w:customStyle="1" w:styleId="TtuloCar">
    <w:name w:val="Título Car"/>
    <w:basedOn w:val="Fuentedeprrafopredeter"/>
    <w:link w:val="Ttulo"/>
    <w:uiPriority w:val="10"/>
    <w:rsid w:val="003067AA"/>
    <w:rPr>
      <w:rFonts w:ascii="Gill Sans MT" w:eastAsiaTheme="majorEastAsia" w:hAnsi="Gill Sans MT" w:cstheme="majorBidi"/>
      <w:spacing w:val="5"/>
      <w:kern w:val="28"/>
      <w:sz w:val="28"/>
      <w:szCs w:val="52"/>
    </w:rPr>
  </w:style>
  <w:style w:type="character" w:styleId="Hipervnculo">
    <w:name w:val="Hyperlink"/>
    <w:basedOn w:val="Fuentedeprrafopredeter"/>
    <w:uiPriority w:val="99"/>
    <w:unhideWhenUsed/>
    <w:rsid w:val="003067AA"/>
    <w:rPr>
      <w:color w:val="0563C1" w:themeColor="hyperlink"/>
      <w:u w:val="single"/>
    </w:rPr>
  </w:style>
  <w:style w:type="paragraph" w:styleId="Textoindependiente">
    <w:name w:val="Body Text"/>
    <w:basedOn w:val="Normal"/>
    <w:link w:val="TextoindependienteCar"/>
    <w:uiPriority w:val="99"/>
    <w:unhideWhenUsed/>
    <w:rsid w:val="003067AA"/>
    <w:pPr>
      <w:spacing w:after="120"/>
    </w:pPr>
  </w:style>
  <w:style w:type="character" w:customStyle="1" w:styleId="TextoindependienteCar">
    <w:name w:val="Texto independiente Car"/>
    <w:basedOn w:val="Fuentedeprrafopredeter"/>
    <w:link w:val="Textoindependiente"/>
    <w:uiPriority w:val="99"/>
    <w:rsid w:val="003067AA"/>
    <w:rPr>
      <w:rFonts w:ascii="Gill Sans MT" w:hAnsi="Gill Sans MT"/>
    </w:rPr>
  </w:style>
  <w:style w:type="paragraph" w:styleId="Prrafodelista">
    <w:name w:val="List Paragraph"/>
    <w:basedOn w:val="Normal"/>
    <w:uiPriority w:val="34"/>
    <w:qFormat/>
    <w:rsid w:val="001E6EF4"/>
    <w:pPr>
      <w:ind w:left="720"/>
      <w:contextualSpacing/>
    </w:pPr>
  </w:style>
  <w:style w:type="character" w:customStyle="1" w:styleId="Ttulo1Car">
    <w:name w:val="Título 1 Car"/>
    <w:basedOn w:val="Fuentedeprrafopredeter"/>
    <w:link w:val="Ttulo1"/>
    <w:uiPriority w:val="9"/>
    <w:rsid w:val="001C6CF5"/>
    <w:rPr>
      <w:rFonts w:ascii="Gill Sans MT" w:eastAsiaTheme="majorEastAsia" w:hAnsi="Gill Sans MT" w:cstheme="majorBidi"/>
      <w:b/>
      <w:bCs/>
      <w:caps/>
      <w:sz w:val="28"/>
      <w:szCs w:val="28"/>
    </w:rPr>
  </w:style>
  <w:style w:type="character" w:customStyle="1" w:styleId="Ttulo2Car">
    <w:name w:val="Título 2 Car"/>
    <w:basedOn w:val="Fuentedeprrafopredeter"/>
    <w:link w:val="Ttulo2"/>
    <w:uiPriority w:val="9"/>
    <w:rsid w:val="001C6CF5"/>
    <w:rPr>
      <w:rFonts w:ascii="Gill Sans MT" w:eastAsiaTheme="majorEastAsia" w:hAnsi="Gill Sans MT" w:cstheme="majorBidi"/>
      <w:sz w:val="26"/>
      <w:szCs w:val="26"/>
    </w:rPr>
  </w:style>
  <w:style w:type="paragraph" w:styleId="Lista2">
    <w:name w:val="List 2"/>
    <w:basedOn w:val="Normal"/>
    <w:uiPriority w:val="99"/>
    <w:unhideWhenUsed/>
    <w:rsid w:val="00CF4982"/>
    <w:pPr>
      <w:ind w:left="566" w:hanging="283"/>
      <w:contextualSpacing/>
    </w:pPr>
  </w:style>
  <w:style w:type="paragraph" w:styleId="Lista3">
    <w:name w:val="List 3"/>
    <w:basedOn w:val="Normal"/>
    <w:uiPriority w:val="99"/>
    <w:unhideWhenUsed/>
    <w:rsid w:val="00CF4982"/>
    <w:pPr>
      <w:ind w:left="849" w:hanging="283"/>
      <w:contextualSpacing/>
    </w:pPr>
  </w:style>
  <w:style w:type="paragraph" w:styleId="TDC1">
    <w:name w:val="toc 1"/>
    <w:basedOn w:val="Normal"/>
    <w:next w:val="Normal"/>
    <w:autoRedefine/>
    <w:uiPriority w:val="39"/>
    <w:unhideWhenUsed/>
    <w:rsid w:val="00140E86"/>
    <w:pPr>
      <w:tabs>
        <w:tab w:val="right" w:leader="dot" w:pos="8828"/>
      </w:tabs>
    </w:pPr>
  </w:style>
  <w:style w:type="paragraph" w:styleId="TDC2">
    <w:name w:val="toc 2"/>
    <w:basedOn w:val="Normal"/>
    <w:next w:val="Normal"/>
    <w:autoRedefine/>
    <w:uiPriority w:val="39"/>
    <w:unhideWhenUsed/>
    <w:rsid w:val="0041130F"/>
    <w:pPr>
      <w:tabs>
        <w:tab w:val="left" w:pos="284"/>
        <w:tab w:val="right" w:leader="dot" w:pos="8828"/>
      </w:tabs>
      <w:ind w:left="220"/>
    </w:pPr>
  </w:style>
  <w:style w:type="paragraph" w:styleId="Encabezado">
    <w:name w:val="header"/>
    <w:basedOn w:val="Normal"/>
    <w:link w:val="EncabezadoCar"/>
    <w:uiPriority w:val="99"/>
    <w:unhideWhenUsed/>
    <w:rsid w:val="00733923"/>
    <w:pPr>
      <w:tabs>
        <w:tab w:val="center" w:pos="4419"/>
        <w:tab w:val="right" w:pos="8838"/>
      </w:tabs>
      <w:spacing w:before="0" w:after="0"/>
    </w:pPr>
  </w:style>
  <w:style w:type="character" w:customStyle="1" w:styleId="EncabezadoCar">
    <w:name w:val="Encabezado Car"/>
    <w:basedOn w:val="Fuentedeprrafopredeter"/>
    <w:link w:val="Encabezado"/>
    <w:uiPriority w:val="99"/>
    <w:rsid w:val="00733923"/>
    <w:rPr>
      <w:rFonts w:ascii="Gill Sans MT" w:hAnsi="Gill Sans MT"/>
    </w:rPr>
  </w:style>
  <w:style w:type="paragraph" w:styleId="Piedepgina">
    <w:name w:val="footer"/>
    <w:basedOn w:val="Normal"/>
    <w:link w:val="PiedepginaCar"/>
    <w:uiPriority w:val="99"/>
    <w:unhideWhenUsed/>
    <w:rsid w:val="00733923"/>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733923"/>
    <w:rPr>
      <w:rFonts w:ascii="Gill Sans MT" w:hAnsi="Gill Sans MT"/>
    </w:rPr>
  </w:style>
  <w:style w:type="paragraph" w:styleId="Textodeglobo">
    <w:name w:val="Balloon Text"/>
    <w:basedOn w:val="Normal"/>
    <w:link w:val="TextodegloboCar"/>
    <w:uiPriority w:val="99"/>
    <w:semiHidden/>
    <w:unhideWhenUsed/>
    <w:rsid w:val="00DE3B30"/>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3B30"/>
    <w:rPr>
      <w:rFonts w:ascii="Segoe UI" w:hAnsi="Segoe UI" w:cs="Segoe UI"/>
      <w:sz w:val="18"/>
      <w:szCs w:val="18"/>
    </w:rPr>
  </w:style>
  <w:style w:type="table" w:styleId="Tablaconcuadrcula">
    <w:name w:val="Table Grid"/>
    <w:basedOn w:val="Tablanormal"/>
    <w:uiPriority w:val="39"/>
    <w:rsid w:val="00AB2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C178C"/>
    <w:pPr>
      <w:spacing w:line="240" w:lineRule="auto"/>
      <w:jc w:val="left"/>
    </w:pPr>
    <w:rPr>
      <w:rFonts w:ascii="Times New Roman" w:eastAsiaTheme="minorEastAsia" w:hAnsi="Times New Roman" w:cs="Times New Roman"/>
      <w:sz w:val="24"/>
      <w:szCs w:val="24"/>
      <w:lang w:val="es-NI" w:eastAsia="es-NI"/>
    </w:rPr>
  </w:style>
  <w:style w:type="table" w:customStyle="1" w:styleId="Tabladecuadrcula1clara-nfasis51">
    <w:name w:val="Tabla de cuadrícula 1 clara - Énfasis 51"/>
    <w:basedOn w:val="Tablanormal"/>
    <w:uiPriority w:val="46"/>
    <w:rsid w:val="00B47DD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Textonotapie">
    <w:name w:val="footnote text"/>
    <w:aliases w:val="fn,Footnote ak,fn Char,footnote text Char,Footnotes Char,Footnote ak Char,ft,fn cafc,Footnotes Char Char,Footnote Text Char Char,fn Char Char,footnote text Char Char Char Ch,Footnote Text Char1 Char,Footnote Text Char Char Char1,f"/>
    <w:basedOn w:val="Normal"/>
    <w:link w:val="TextonotapieCar"/>
    <w:uiPriority w:val="99"/>
    <w:unhideWhenUsed/>
    <w:rsid w:val="00C543E8"/>
    <w:pPr>
      <w:spacing w:before="0" w:after="0" w:line="240" w:lineRule="auto"/>
    </w:pPr>
    <w:rPr>
      <w:sz w:val="20"/>
      <w:szCs w:val="20"/>
    </w:rPr>
  </w:style>
  <w:style w:type="character" w:customStyle="1" w:styleId="TextonotapieCar">
    <w:name w:val="Texto nota pie Car"/>
    <w:aliases w:val="fn Car,Footnote ak Car,fn Char Car,footnote text Char Car,Footnotes Char Car,Footnote ak Char Car,ft Car,fn cafc Car,Footnotes Char Char Car,Footnote Text Char Char Car,fn Char Char Car,footnote text Char Char Char Ch Car,f Car"/>
    <w:basedOn w:val="Fuentedeprrafopredeter"/>
    <w:link w:val="Textonotapie"/>
    <w:uiPriority w:val="99"/>
    <w:rsid w:val="00C543E8"/>
    <w:rPr>
      <w:rFonts w:ascii="Gill Sans MT" w:hAnsi="Gill Sans MT"/>
      <w:sz w:val="20"/>
      <w:szCs w:val="20"/>
    </w:rPr>
  </w:style>
  <w:style w:type="character" w:styleId="Refdenotaalpie">
    <w:name w:val="footnote reference"/>
    <w:basedOn w:val="Fuentedeprrafopredeter"/>
    <w:uiPriority w:val="99"/>
    <w:unhideWhenUsed/>
    <w:rsid w:val="00C543E8"/>
    <w:rPr>
      <w:vertAlign w:val="superscript"/>
    </w:rPr>
  </w:style>
  <w:style w:type="table" w:customStyle="1" w:styleId="Tabladecuadrcula6concolores-nfasis51">
    <w:name w:val="Tabla de cuadrícula 6 con colores - Énfasis 51"/>
    <w:basedOn w:val="Tablanormal"/>
    <w:uiPriority w:val="51"/>
    <w:rsid w:val="00C5285E"/>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lista3-nfasis11">
    <w:name w:val="Tabla de lista 3 - Énfasis 11"/>
    <w:basedOn w:val="Tablanormal"/>
    <w:uiPriority w:val="48"/>
    <w:rsid w:val="00C5285E"/>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adecuadrcula4-nfasis11">
    <w:name w:val="Tabla de cuadrícula 4 - Énfasis 11"/>
    <w:basedOn w:val="Tablanormal"/>
    <w:uiPriority w:val="49"/>
    <w:rsid w:val="00694C6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Cuadrculamedia3-nfasis5">
    <w:name w:val="Medium Grid 3 Accent 5"/>
    <w:basedOn w:val="Tablanormal"/>
    <w:uiPriority w:val="69"/>
    <w:rsid w:val="00A9203C"/>
    <w:pPr>
      <w:spacing w:after="0" w:line="240" w:lineRule="auto"/>
    </w:pPr>
    <w:rPr>
      <w:rFonts w:eastAsiaTheme="minorEastAsia"/>
      <w:lang w:val="es-ES"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media3-nfasis1">
    <w:name w:val="Medium Grid 3 Accent 1"/>
    <w:basedOn w:val="Tablanormal"/>
    <w:uiPriority w:val="69"/>
    <w:rsid w:val="00B2468C"/>
    <w:pPr>
      <w:spacing w:after="0" w:line="240" w:lineRule="auto"/>
    </w:pPr>
    <w:rPr>
      <w:rFonts w:eastAsiaTheme="minorEastAsia"/>
      <w:lang w:val="es-ES"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styleId="Descripcin">
    <w:name w:val="caption"/>
    <w:basedOn w:val="Normal"/>
    <w:next w:val="Normal"/>
    <w:uiPriority w:val="35"/>
    <w:unhideWhenUsed/>
    <w:qFormat/>
    <w:rsid w:val="00E21113"/>
    <w:pPr>
      <w:spacing w:before="0" w:after="200" w:line="240" w:lineRule="auto"/>
    </w:pPr>
    <w:rPr>
      <w:i/>
      <w:iCs/>
      <w:color w:val="44546A" w:themeColor="text2"/>
      <w:sz w:val="18"/>
      <w:szCs w:val="18"/>
    </w:rPr>
  </w:style>
  <w:style w:type="table" w:customStyle="1" w:styleId="Tabladecuadrcula4-nfasis51">
    <w:name w:val="Tabla de cuadrícula 4 - Énfasis 51"/>
    <w:basedOn w:val="Tablanormal"/>
    <w:uiPriority w:val="49"/>
    <w:rsid w:val="0019537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Refdecomentario">
    <w:name w:val="annotation reference"/>
    <w:basedOn w:val="Fuentedeprrafopredeter"/>
    <w:uiPriority w:val="99"/>
    <w:semiHidden/>
    <w:unhideWhenUsed/>
    <w:rsid w:val="0036265F"/>
    <w:rPr>
      <w:sz w:val="16"/>
      <w:szCs w:val="16"/>
    </w:rPr>
  </w:style>
  <w:style w:type="paragraph" w:styleId="Textocomentario">
    <w:name w:val="annotation text"/>
    <w:basedOn w:val="Normal"/>
    <w:link w:val="TextocomentarioCar"/>
    <w:uiPriority w:val="99"/>
    <w:semiHidden/>
    <w:unhideWhenUsed/>
    <w:rsid w:val="003626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6265F"/>
    <w:rPr>
      <w:rFonts w:ascii="Gill Sans MT" w:hAnsi="Gill Sans MT"/>
      <w:sz w:val="20"/>
      <w:szCs w:val="20"/>
    </w:rPr>
  </w:style>
  <w:style w:type="paragraph" w:styleId="Asuntodelcomentario">
    <w:name w:val="annotation subject"/>
    <w:basedOn w:val="Textocomentario"/>
    <w:next w:val="Textocomentario"/>
    <w:link w:val="AsuntodelcomentarioCar"/>
    <w:uiPriority w:val="99"/>
    <w:semiHidden/>
    <w:unhideWhenUsed/>
    <w:rsid w:val="0036265F"/>
    <w:rPr>
      <w:b/>
      <w:bCs/>
    </w:rPr>
  </w:style>
  <w:style w:type="character" w:customStyle="1" w:styleId="AsuntodelcomentarioCar">
    <w:name w:val="Asunto del comentario Car"/>
    <w:basedOn w:val="TextocomentarioCar"/>
    <w:link w:val="Asuntodelcomentario"/>
    <w:uiPriority w:val="99"/>
    <w:semiHidden/>
    <w:rsid w:val="0036265F"/>
    <w:rPr>
      <w:rFonts w:ascii="Gill Sans MT" w:hAnsi="Gill Sans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10262">
      <w:bodyDiv w:val="1"/>
      <w:marLeft w:val="0"/>
      <w:marRight w:val="0"/>
      <w:marTop w:val="0"/>
      <w:marBottom w:val="0"/>
      <w:divBdr>
        <w:top w:val="none" w:sz="0" w:space="0" w:color="auto"/>
        <w:left w:val="none" w:sz="0" w:space="0" w:color="auto"/>
        <w:bottom w:val="none" w:sz="0" w:space="0" w:color="auto"/>
        <w:right w:val="none" w:sz="0" w:space="0" w:color="auto"/>
      </w:divBdr>
    </w:div>
    <w:div w:id="364066265">
      <w:bodyDiv w:val="1"/>
      <w:marLeft w:val="0"/>
      <w:marRight w:val="0"/>
      <w:marTop w:val="0"/>
      <w:marBottom w:val="0"/>
      <w:divBdr>
        <w:top w:val="none" w:sz="0" w:space="0" w:color="auto"/>
        <w:left w:val="none" w:sz="0" w:space="0" w:color="auto"/>
        <w:bottom w:val="none" w:sz="0" w:space="0" w:color="auto"/>
        <w:right w:val="none" w:sz="0" w:space="0" w:color="auto"/>
      </w:divBdr>
    </w:div>
    <w:div w:id="510530405">
      <w:bodyDiv w:val="1"/>
      <w:marLeft w:val="0"/>
      <w:marRight w:val="0"/>
      <w:marTop w:val="0"/>
      <w:marBottom w:val="0"/>
      <w:divBdr>
        <w:top w:val="none" w:sz="0" w:space="0" w:color="auto"/>
        <w:left w:val="none" w:sz="0" w:space="0" w:color="auto"/>
        <w:bottom w:val="none" w:sz="0" w:space="0" w:color="auto"/>
        <w:right w:val="none" w:sz="0" w:space="0" w:color="auto"/>
      </w:divBdr>
    </w:div>
    <w:div w:id="618146910">
      <w:bodyDiv w:val="1"/>
      <w:marLeft w:val="0"/>
      <w:marRight w:val="0"/>
      <w:marTop w:val="0"/>
      <w:marBottom w:val="0"/>
      <w:divBdr>
        <w:top w:val="none" w:sz="0" w:space="0" w:color="auto"/>
        <w:left w:val="none" w:sz="0" w:space="0" w:color="auto"/>
        <w:bottom w:val="none" w:sz="0" w:space="0" w:color="auto"/>
        <w:right w:val="none" w:sz="0" w:space="0" w:color="auto"/>
      </w:divBdr>
    </w:div>
    <w:div w:id="712581433">
      <w:bodyDiv w:val="1"/>
      <w:marLeft w:val="0"/>
      <w:marRight w:val="0"/>
      <w:marTop w:val="0"/>
      <w:marBottom w:val="0"/>
      <w:divBdr>
        <w:top w:val="none" w:sz="0" w:space="0" w:color="auto"/>
        <w:left w:val="none" w:sz="0" w:space="0" w:color="auto"/>
        <w:bottom w:val="none" w:sz="0" w:space="0" w:color="auto"/>
        <w:right w:val="none" w:sz="0" w:space="0" w:color="auto"/>
      </w:divBdr>
    </w:div>
    <w:div w:id="905457848">
      <w:bodyDiv w:val="1"/>
      <w:marLeft w:val="0"/>
      <w:marRight w:val="0"/>
      <w:marTop w:val="0"/>
      <w:marBottom w:val="0"/>
      <w:divBdr>
        <w:top w:val="none" w:sz="0" w:space="0" w:color="auto"/>
        <w:left w:val="none" w:sz="0" w:space="0" w:color="auto"/>
        <w:bottom w:val="none" w:sz="0" w:space="0" w:color="auto"/>
        <w:right w:val="none" w:sz="0" w:space="0" w:color="auto"/>
      </w:divBdr>
    </w:div>
    <w:div w:id="922185543">
      <w:bodyDiv w:val="1"/>
      <w:marLeft w:val="0"/>
      <w:marRight w:val="0"/>
      <w:marTop w:val="0"/>
      <w:marBottom w:val="0"/>
      <w:divBdr>
        <w:top w:val="none" w:sz="0" w:space="0" w:color="auto"/>
        <w:left w:val="none" w:sz="0" w:space="0" w:color="auto"/>
        <w:bottom w:val="none" w:sz="0" w:space="0" w:color="auto"/>
        <w:right w:val="none" w:sz="0" w:space="0" w:color="auto"/>
      </w:divBdr>
    </w:div>
    <w:div w:id="1048996032">
      <w:bodyDiv w:val="1"/>
      <w:marLeft w:val="0"/>
      <w:marRight w:val="0"/>
      <w:marTop w:val="0"/>
      <w:marBottom w:val="0"/>
      <w:divBdr>
        <w:top w:val="none" w:sz="0" w:space="0" w:color="auto"/>
        <w:left w:val="none" w:sz="0" w:space="0" w:color="auto"/>
        <w:bottom w:val="none" w:sz="0" w:space="0" w:color="auto"/>
        <w:right w:val="none" w:sz="0" w:space="0" w:color="auto"/>
      </w:divBdr>
    </w:div>
    <w:div w:id="1188253445">
      <w:bodyDiv w:val="1"/>
      <w:marLeft w:val="0"/>
      <w:marRight w:val="0"/>
      <w:marTop w:val="0"/>
      <w:marBottom w:val="0"/>
      <w:divBdr>
        <w:top w:val="none" w:sz="0" w:space="0" w:color="auto"/>
        <w:left w:val="none" w:sz="0" w:space="0" w:color="auto"/>
        <w:bottom w:val="none" w:sz="0" w:space="0" w:color="auto"/>
        <w:right w:val="none" w:sz="0" w:space="0" w:color="auto"/>
      </w:divBdr>
    </w:div>
    <w:div w:id="1204027462">
      <w:bodyDiv w:val="1"/>
      <w:marLeft w:val="0"/>
      <w:marRight w:val="0"/>
      <w:marTop w:val="0"/>
      <w:marBottom w:val="0"/>
      <w:divBdr>
        <w:top w:val="none" w:sz="0" w:space="0" w:color="auto"/>
        <w:left w:val="none" w:sz="0" w:space="0" w:color="auto"/>
        <w:bottom w:val="none" w:sz="0" w:space="0" w:color="auto"/>
        <w:right w:val="none" w:sz="0" w:space="0" w:color="auto"/>
      </w:divBdr>
    </w:div>
    <w:div w:id="1226530433">
      <w:bodyDiv w:val="1"/>
      <w:marLeft w:val="0"/>
      <w:marRight w:val="0"/>
      <w:marTop w:val="0"/>
      <w:marBottom w:val="0"/>
      <w:divBdr>
        <w:top w:val="none" w:sz="0" w:space="0" w:color="auto"/>
        <w:left w:val="none" w:sz="0" w:space="0" w:color="auto"/>
        <w:bottom w:val="none" w:sz="0" w:space="0" w:color="auto"/>
        <w:right w:val="none" w:sz="0" w:space="0" w:color="auto"/>
      </w:divBdr>
    </w:div>
    <w:div w:id="1237521531">
      <w:bodyDiv w:val="1"/>
      <w:marLeft w:val="0"/>
      <w:marRight w:val="0"/>
      <w:marTop w:val="0"/>
      <w:marBottom w:val="0"/>
      <w:divBdr>
        <w:top w:val="none" w:sz="0" w:space="0" w:color="auto"/>
        <w:left w:val="none" w:sz="0" w:space="0" w:color="auto"/>
        <w:bottom w:val="none" w:sz="0" w:space="0" w:color="auto"/>
        <w:right w:val="none" w:sz="0" w:space="0" w:color="auto"/>
      </w:divBdr>
    </w:div>
    <w:div w:id="1256553790">
      <w:bodyDiv w:val="1"/>
      <w:marLeft w:val="0"/>
      <w:marRight w:val="0"/>
      <w:marTop w:val="0"/>
      <w:marBottom w:val="0"/>
      <w:divBdr>
        <w:top w:val="none" w:sz="0" w:space="0" w:color="auto"/>
        <w:left w:val="none" w:sz="0" w:space="0" w:color="auto"/>
        <w:bottom w:val="none" w:sz="0" w:space="0" w:color="auto"/>
        <w:right w:val="none" w:sz="0" w:space="0" w:color="auto"/>
      </w:divBdr>
    </w:div>
    <w:div w:id="1263344031">
      <w:bodyDiv w:val="1"/>
      <w:marLeft w:val="0"/>
      <w:marRight w:val="0"/>
      <w:marTop w:val="0"/>
      <w:marBottom w:val="0"/>
      <w:divBdr>
        <w:top w:val="none" w:sz="0" w:space="0" w:color="auto"/>
        <w:left w:val="none" w:sz="0" w:space="0" w:color="auto"/>
        <w:bottom w:val="none" w:sz="0" w:space="0" w:color="auto"/>
        <w:right w:val="none" w:sz="0" w:space="0" w:color="auto"/>
      </w:divBdr>
    </w:div>
    <w:div w:id="1324813859">
      <w:bodyDiv w:val="1"/>
      <w:marLeft w:val="0"/>
      <w:marRight w:val="0"/>
      <w:marTop w:val="0"/>
      <w:marBottom w:val="0"/>
      <w:divBdr>
        <w:top w:val="none" w:sz="0" w:space="0" w:color="auto"/>
        <w:left w:val="none" w:sz="0" w:space="0" w:color="auto"/>
        <w:bottom w:val="none" w:sz="0" w:space="0" w:color="auto"/>
        <w:right w:val="none" w:sz="0" w:space="0" w:color="auto"/>
      </w:divBdr>
    </w:div>
    <w:div w:id="1358391060">
      <w:bodyDiv w:val="1"/>
      <w:marLeft w:val="0"/>
      <w:marRight w:val="0"/>
      <w:marTop w:val="0"/>
      <w:marBottom w:val="0"/>
      <w:divBdr>
        <w:top w:val="none" w:sz="0" w:space="0" w:color="auto"/>
        <w:left w:val="none" w:sz="0" w:space="0" w:color="auto"/>
        <w:bottom w:val="none" w:sz="0" w:space="0" w:color="auto"/>
        <w:right w:val="none" w:sz="0" w:space="0" w:color="auto"/>
      </w:divBdr>
    </w:div>
    <w:div w:id="1429345627">
      <w:bodyDiv w:val="1"/>
      <w:marLeft w:val="0"/>
      <w:marRight w:val="0"/>
      <w:marTop w:val="0"/>
      <w:marBottom w:val="0"/>
      <w:divBdr>
        <w:top w:val="none" w:sz="0" w:space="0" w:color="auto"/>
        <w:left w:val="none" w:sz="0" w:space="0" w:color="auto"/>
        <w:bottom w:val="none" w:sz="0" w:space="0" w:color="auto"/>
        <w:right w:val="none" w:sz="0" w:space="0" w:color="auto"/>
      </w:divBdr>
    </w:div>
    <w:div w:id="1448546283">
      <w:bodyDiv w:val="1"/>
      <w:marLeft w:val="0"/>
      <w:marRight w:val="0"/>
      <w:marTop w:val="0"/>
      <w:marBottom w:val="0"/>
      <w:divBdr>
        <w:top w:val="none" w:sz="0" w:space="0" w:color="auto"/>
        <w:left w:val="none" w:sz="0" w:space="0" w:color="auto"/>
        <w:bottom w:val="none" w:sz="0" w:space="0" w:color="auto"/>
        <w:right w:val="none" w:sz="0" w:space="0" w:color="auto"/>
      </w:divBdr>
    </w:div>
    <w:div w:id="1547794876">
      <w:bodyDiv w:val="1"/>
      <w:marLeft w:val="0"/>
      <w:marRight w:val="0"/>
      <w:marTop w:val="0"/>
      <w:marBottom w:val="0"/>
      <w:divBdr>
        <w:top w:val="none" w:sz="0" w:space="0" w:color="auto"/>
        <w:left w:val="none" w:sz="0" w:space="0" w:color="auto"/>
        <w:bottom w:val="none" w:sz="0" w:space="0" w:color="auto"/>
        <w:right w:val="none" w:sz="0" w:space="0" w:color="auto"/>
      </w:divBdr>
    </w:div>
    <w:div w:id="1679770999">
      <w:bodyDiv w:val="1"/>
      <w:marLeft w:val="0"/>
      <w:marRight w:val="0"/>
      <w:marTop w:val="0"/>
      <w:marBottom w:val="0"/>
      <w:divBdr>
        <w:top w:val="none" w:sz="0" w:space="0" w:color="auto"/>
        <w:left w:val="none" w:sz="0" w:space="0" w:color="auto"/>
        <w:bottom w:val="none" w:sz="0" w:space="0" w:color="auto"/>
        <w:right w:val="none" w:sz="0" w:space="0" w:color="auto"/>
      </w:divBdr>
    </w:div>
    <w:div w:id="1778058445">
      <w:bodyDiv w:val="1"/>
      <w:marLeft w:val="0"/>
      <w:marRight w:val="0"/>
      <w:marTop w:val="0"/>
      <w:marBottom w:val="0"/>
      <w:divBdr>
        <w:top w:val="none" w:sz="0" w:space="0" w:color="auto"/>
        <w:left w:val="none" w:sz="0" w:space="0" w:color="auto"/>
        <w:bottom w:val="none" w:sz="0" w:space="0" w:color="auto"/>
        <w:right w:val="none" w:sz="0" w:space="0" w:color="auto"/>
      </w:divBdr>
    </w:div>
    <w:div w:id="1822034933">
      <w:bodyDiv w:val="1"/>
      <w:marLeft w:val="0"/>
      <w:marRight w:val="0"/>
      <w:marTop w:val="0"/>
      <w:marBottom w:val="0"/>
      <w:divBdr>
        <w:top w:val="none" w:sz="0" w:space="0" w:color="auto"/>
        <w:left w:val="none" w:sz="0" w:space="0" w:color="auto"/>
        <w:bottom w:val="none" w:sz="0" w:space="0" w:color="auto"/>
        <w:right w:val="none" w:sz="0" w:space="0" w:color="auto"/>
      </w:divBdr>
    </w:div>
    <w:div w:id="1933321842">
      <w:bodyDiv w:val="1"/>
      <w:marLeft w:val="0"/>
      <w:marRight w:val="0"/>
      <w:marTop w:val="0"/>
      <w:marBottom w:val="0"/>
      <w:divBdr>
        <w:top w:val="none" w:sz="0" w:space="0" w:color="auto"/>
        <w:left w:val="none" w:sz="0" w:space="0" w:color="auto"/>
        <w:bottom w:val="none" w:sz="0" w:space="0" w:color="auto"/>
        <w:right w:val="none" w:sz="0" w:space="0" w:color="auto"/>
      </w:divBdr>
    </w:div>
    <w:div w:id="1971938253">
      <w:bodyDiv w:val="1"/>
      <w:marLeft w:val="0"/>
      <w:marRight w:val="0"/>
      <w:marTop w:val="0"/>
      <w:marBottom w:val="0"/>
      <w:divBdr>
        <w:top w:val="none" w:sz="0" w:space="0" w:color="auto"/>
        <w:left w:val="none" w:sz="0" w:space="0" w:color="auto"/>
        <w:bottom w:val="none" w:sz="0" w:space="0" w:color="auto"/>
        <w:right w:val="none" w:sz="0" w:space="0" w:color="auto"/>
      </w:divBdr>
    </w:div>
    <w:div w:id="200581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uario\Documents\tubercolosis\2018\Consolidacion%202014-2015-2016-2017%20CATEGORIA-POB%20BENEF.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uario\Documents\tubercolosis\2018\Consolidacion%202014-2015-2016-2017%20CATEGORIA-POB%20BENEF%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uario\Documents\tubercolosis\2018\Consolidacion%202014-2015-2016-2017%20CATEGORIA-POB%20BENEF%2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uario\Documents\tubercolosis\2018\Consolidacion%202014-2015-2016-2017%20CATEGORIA-POB%20BENEF%2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uario\Documents\tubercolosis\2018\Consolidacion%202014-2015-2016-2017%20CATEGORIA-POB%20BENEF%2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uario\Documents\tubercolosis\2018\Consolidacion%202014-2015-2016-2017%20CATEGORIA-POB%20BENEF%20(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uario\Documents\tubercolosis\2018\Consolidacion%202014-2015-2016-2017%20CATEGORIA-POB%20BENEF%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1200" b="0" i="0" u="none" strike="noStrike" kern="1200" spc="0" baseline="0">
                <a:solidFill>
                  <a:sysClr val="windowText" lastClr="000000"/>
                </a:solidFill>
                <a:latin typeface="+mn-lt"/>
                <a:ea typeface="+mn-ea"/>
                <a:cs typeface="+mn-cs"/>
              </a:defRPr>
            </a:pPr>
            <a:r>
              <a:rPr lang="en-US" sz="1200" b="1" i="0" baseline="0">
                <a:effectLst/>
              </a:rPr>
              <a:t>Grafico 1. Nicaragua 2014-2017. Evolución del Gasto en Tuberculosis</a:t>
            </a:r>
            <a:endParaRPr lang="es-NI" sz="1200">
              <a:effectLst/>
            </a:endParaRPr>
          </a:p>
          <a:p>
            <a:pPr>
              <a:defRPr lang="es-ES" sz="1200" b="0" i="0" u="none" strike="noStrike" kern="1200" spc="0" baseline="0">
                <a:solidFill>
                  <a:sysClr val="windowText" lastClr="000000"/>
                </a:solidFill>
                <a:latin typeface="+mn-lt"/>
                <a:ea typeface="+mn-ea"/>
                <a:cs typeface="+mn-cs"/>
              </a:defRPr>
            </a:pPr>
            <a:r>
              <a:rPr lang="en-US" sz="1200" b="1" i="0" baseline="0">
                <a:effectLst/>
              </a:rPr>
              <a:t>Cifras en US$ Millones</a:t>
            </a:r>
            <a:endParaRPr lang="es-NI" sz="1200">
              <a:effectLst/>
            </a:endParaRPr>
          </a:p>
        </c:rich>
      </c:tx>
      <c:overlay val="0"/>
      <c:spPr>
        <a:noFill/>
        <a:ln>
          <a:noFill/>
        </a:ln>
        <a:effectLst/>
      </c:spPr>
    </c:title>
    <c:autoTitleDeleted val="0"/>
    <c:plotArea>
      <c:layout/>
      <c:barChart>
        <c:barDir val="col"/>
        <c:grouping val="clustered"/>
        <c:varyColors val="0"/>
        <c:ser>
          <c:idx val="0"/>
          <c:order val="0"/>
          <c:tx>
            <c:strRef>
              <c:f>'Gasto total'!$E$6</c:f>
              <c:strCache>
                <c:ptCount val="1"/>
                <c:pt idx="0">
                  <c:v>Gasto</c:v>
                </c:pt>
              </c:strCache>
            </c:strRef>
          </c:tx>
          <c:spPr>
            <a:solidFill>
              <a:schemeClr val="accent1">
                <a:lumMod val="75000"/>
              </a:schemeClr>
            </a:solidFill>
            <a:ln>
              <a:noFill/>
            </a:ln>
            <a:effectLst/>
          </c:spPr>
          <c:invertIfNegative val="0"/>
          <c:dPt>
            <c:idx val="1"/>
            <c:invertIfNegative val="0"/>
            <c:bubble3D val="0"/>
            <c:spPr>
              <a:solidFill>
                <a:srgbClr val="FFC000"/>
              </a:solidFill>
              <a:ln>
                <a:noFill/>
              </a:ln>
              <a:effectLst/>
            </c:spPr>
            <c:extLst>
              <c:ext xmlns:c16="http://schemas.microsoft.com/office/drawing/2014/chart" uri="{C3380CC4-5D6E-409C-BE32-E72D297353CC}">
                <c16:uniqueId val="{00000001-7E4C-443F-B20D-990CF85EF1FF}"/>
              </c:ext>
            </c:extLst>
          </c:dPt>
          <c:dPt>
            <c:idx val="2"/>
            <c:invertIfNegative val="0"/>
            <c:bubble3D val="0"/>
            <c:spPr>
              <a:solidFill>
                <a:srgbClr val="00B050"/>
              </a:solidFill>
              <a:ln>
                <a:noFill/>
              </a:ln>
              <a:effectLst/>
            </c:spPr>
            <c:extLst>
              <c:ext xmlns:c16="http://schemas.microsoft.com/office/drawing/2014/chart" uri="{C3380CC4-5D6E-409C-BE32-E72D297353CC}">
                <c16:uniqueId val="{00000003-7E4C-443F-B20D-990CF85EF1FF}"/>
              </c:ext>
            </c:extLst>
          </c:dPt>
          <c:dPt>
            <c:idx val="3"/>
            <c:invertIfNegative val="0"/>
            <c:bubble3D val="0"/>
            <c:spPr>
              <a:solidFill>
                <a:schemeClr val="accent2"/>
              </a:solidFill>
              <a:ln>
                <a:noFill/>
              </a:ln>
              <a:effectLst/>
            </c:spPr>
            <c:extLst>
              <c:ext xmlns:c16="http://schemas.microsoft.com/office/drawing/2014/chart" uri="{C3380CC4-5D6E-409C-BE32-E72D297353CC}">
                <c16:uniqueId val="{00000005-7E4C-443F-B20D-990CF85EF1FF}"/>
              </c:ext>
            </c:extLst>
          </c:dPt>
          <c:dLbls>
            <c:dLbl>
              <c:idx val="2"/>
              <c:tx>
                <c:rich>
                  <a:bodyPr/>
                  <a:lstStyle/>
                  <a:p>
                    <a:r>
                      <a:rPr lang="en-US"/>
                      <a:t>$4.62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E4C-443F-B20D-990CF85EF1FF}"/>
                </c:ext>
              </c:extLst>
            </c:dLbl>
            <c:dLbl>
              <c:idx val="3"/>
              <c:tx>
                <c:rich>
                  <a:bodyPr/>
                  <a:lstStyle/>
                  <a:p>
                    <a:r>
                      <a:rPr lang="en-US"/>
                      <a:t>$5.40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E4C-443F-B20D-990CF85EF1FF}"/>
                </c:ext>
              </c:extLst>
            </c:dLbl>
            <c:numFmt formatCode="&quot;$&quot;#,##0.00" sourceLinked="0"/>
            <c:spPr>
              <a:noFill/>
              <a:ln>
                <a:noFill/>
              </a:ln>
              <a:effectLst/>
            </c:spPr>
            <c:txPr>
              <a:bodyPr rot="0" spcFirstLastPara="1" vertOverflow="ellipsis" vert="horz" wrap="square" lIns="38100" tIns="19050" rIns="38100" bIns="19050" anchor="ctr" anchorCtr="1">
                <a:spAutoFit/>
              </a:bodyPr>
              <a:lstStyle/>
              <a:p>
                <a:pPr>
                  <a:defRPr lang="es-ES" sz="900" b="1" i="0" u="none" strike="noStrike" kern="1200" baseline="0">
                    <a:solidFill>
                      <a:sysClr val="windowText" lastClr="000000"/>
                    </a:solidFill>
                    <a:latin typeface="+mn-lt"/>
                    <a:ea typeface="+mn-ea"/>
                    <a:cs typeface="+mn-cs"/>
                  </a:defRPr>
                </a:pPr>
                <a:endParaRPr lang="es-N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'Gasto total'!$F$5:$I$5</c:f>
              <c:numCache>
                <c:formatCode>General</c:formatCode>
                <c:ptCount val="4"/>
                <c:pt idx="0">
                  <c:v>2014</c:v>
                </c:pt>
                <c:pt idx="1">
                  <c:v>2015</c:v>
                </c:pt>
                <c:pt idx="2">
                  <c:v>2016</c:v>
                </c:pt>
                <c:pt idx="3">
                  <c:v>2017</c:v>
                </c:pt>
              </c:numCache>
            </c:numRef>
          </c:cat>
          <c:val>
            <c:numRef>
              <c:f>'Gasto total'!$F$6:$I$6</c:f>
              <c:numCache>
                <c:formatCode>0.00</c:formatCode>
                <c:ptCount val="4"/>
                <c:pt idx="0">
                  <c:v>3.5420929466845936</c:v>
                </c:pt>
                <c:pt idx="1">
                  <c:v>4.3819805157006773</c:v>
                </c:pt>
                <c:pt idx="2">
                  <c:v>5.3864061543695732</c:v>
                </c:pt>
                <c:pt idx="3">
                  <c:v>5.4488620786963171</c:v>
                </c:pt>
              </c:numCache>
            </c:numRef>
          </c:val>
          <c:extLst>
            <c:ext xmlns:c16="http://schemas.microsoft.com/office/drawing/2014/chart" uri="{C3380CC4-5D6E-409C-BE32-E72D297353CC}">
              <c16:uniqueId val="{00000006-7E4C-443F-B20D-990CF85EF1FF}"/>
            </c:ext>
          </c:extLst>
        </c:ser>
        <c:dLbls>
          <c:showLegendKey val="0"/>
          <c:showVal val="0"/>
          <c:showCatName val="0"/>
          <c:showSerName val="0"/>
          <c:showPercent val="0"/>
          <c:showBubbleSize val="0"/>
        </c:dLbls>
        <c:gapWidth val="219"/>
        <c:overlap val="-27"/>
        <c:axId val="464330768"/>
        <c:axId val="464329200"/>
      </c:barChart>
      <c:catAx>
        <c:axId val="464330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1050" b="1" i="0" u="none" strike="noStrike" kern="1200" baseline="0">
                <a:solidFill>
                  <a:sysClr val="windowText" lastClr="000000"/>
                </a:solidFill>
                <a:latin typeface="+mn-lt"/>
                <a:ea typeface="+mn-ea"/>
                <a:cs typeface="+mn-cs"/>
              </a:defRPr>
            </a:pPr>
            <a:endParaRPr lang="es-NI"/>
          </a:p>
        </c:txPr>
        <c:crossAx val="464329200"/>
        <c:crosses val="autoZero"/>
        <c:auto val="1"/>
        <c:lblAlgn val="ctr"/>
        <c:lblOffset val="100"/>
        <c:noMultiLvlLbl val="0"/>
      </c:catAx>
      <c:valAx>
        <c:axId val="464329200"/>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s-ES" sz="900" b="0" i="0" u="none" strike="noStrike" kern="1200" baseline="0">
                <a:solidFill>
                  <a:sysClr val="windowText" lastClr="000000"/>
                </a:solidFill>
                <a:latin typeface="+mn-lt"/>
                <a:ea typeface="+mn-ea"/>
                <a:cs typeface="+mn-cs"/>
              </a:defRPr>
            </a:pPr>
            <a:endParaRPr lang="es-NI"/>
          </a:p>
        </c:txPr>
        <c:crossAx val="464330768"/>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s-NI"/>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1000" b="1" i="0" u="none" strike="noStrike" kern="1200" spc="0" baseline="0">
                <a:solidFill>
                  <a:sysClr val="windowText" lastClr="000000"/>
                </a:solidFill>
                <a:latin typeface="+mn-lt"/>
                <a:ea typeface="+mn-ea"/>
                <a:cs typeface="+mn-cs"/>
              </a:defRPr>
            </a:pPr>
            <a:r>
              <a:rPr lang="en-US" sz="1000" b="1"/>
              <a:t>Gráfico</a:t>
            </a:r>
            <a:r>
              <a:rPr lang="en-US" sz="1000" b="1" baseline="0"/>
              <a:t> 3. </a:t>
            </a:r>
            <a:r>
              <a:rPr lang="en-US" sz="1000" b="1"/>
              <a:t>Gasto en Tuberculosis por Origen del Financiamiento</a:t>
            </a:r>
          </a:p>
          <a:p>
            <a:pPr>
              <a:defRPr lang="es-ES" sz="1000" b="1" i="0" u="none" strike="noStrike" kern="1200" spc="0" baseline="0">
                <a:solidFill>
                  <a:sysClr val="windowText" lastClr="000000"/>
                </a:solidFill>
                <a:latin typeface="+mn-lt"/>
                <a:ea typeface="+mn-ea"/>
                <a:cs typeface="+mn-cs"/>
              </a:defRPr>
            </a:pPr>
            <a:r>
              <a:rPr lang="en-US" sz="1000" b="1"/>
              <a:t>Nicaragua 2017</a:t>
            </a:r>
          </a:p>
        </c:rich>
      </c:tx>
      <c:layout>
        <c:manualLayout>
          <c:xMode val="edge"/>
          <c:yMode val="edge"/>
          <c:x val="9.1544866795803967E-2"/>
          <c:y val="3.3048746901679991E-2"/>
        </c:manualLayout>
      </c:layout>
      <c:overlay val="0"/>
      <c:spPr>
        <a:noFill/>
        <a:ln>
          <a:noFill/>
        </a:ln>
        <a:effectLst/>
      </c:spPr>
    </c:title>
    <c:autoTitleDeleted val="0"/>
    <c:plotArea>
      <c:layout>
        <c:manualLayout>
          <c:layoutTarget val="inner"/>
          <c:xMode val="edge"/>
          <c:yMode val="edge"/>
          <c:x val="0.14744250675915851"/>
          <c:y val="0.29934024725531638"/>
          <c:w val="0.62126953693031872"/>
          <c:h val="0.67421026053453581"/>
        </c:manualLayout>
      </c:layout>
      <c:doughnutChart>
        <c:varyColors val="1"/>
        <c:ser>
          <c:idx val="0"/>
          <c:order val="0"/>
          <c:tx>
            <c:strRef>
              <c:f>'Gasto por fuente'!$E$13</c:f>
              <c:strCache>
                <c:ptCount val="1"/>
                <c:pt idx="0">
                  <c:v>2017</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714B-45C1-85F4-2C002F4E2779}"/>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714B-45C1-85F4-2C002F4E2779}"/>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714B-45C1-85F4-2C002F4E2779}"/>
              </c:ext>
            </c:extLst>
          </c:dPt>
          <c:dLbls>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ysClr val="windowText" lastClr="000000"/>
                    </a:solidFill>
                    <a:latin typeface="+mn-lt"/>
                    <a:ea typeface="+mn-ea"/>
                    <a:cs typeface="+mn-cs"/>
                  </a:defRPr>
                </a:pPr>
                <a:endParaRPr lang="es-NI"/>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'Gasto por fuente'!$A$14:$A$16</c:f>
              <c:strCache>
                <c:ptCount val="3"/>
                <c:pt idx="0">
                  <c:v>Públicas</c:v>
                </c:pt>
                <c:pt idx="1">
                  <c:v>Privadas</c:v>
                </c:pt>
                <c:pt idx="2">
                  <c:v>Internacionales</c:v>
                </c:pt>
              </c:strCache>
            </c:strRef>
          </c:cat>
          <c:val>
            <c:numRef>
              <c:f>'Gasto por fuente'!$E$14:$E$16</c:f>
              <c:numCache>
                <c:formatCode>General</c:formatCode>
                <c:ptCount val="3"/>
                <c:pt idx="0" formatCode="0.00">
                  <c:v>3.05</c:v>
                </c:pt>
                <c:pt idx="1">
                  <c:v>0.18000000000000005</c:v>
                </c:pt>
                <c:pt idx="2">
                  <c:v>2.16</c:v>
                </c:pt>
              </c:numCache>
            </c:numRef>
          </c:val>
          <c:extLst>
            <c:ext xmlns:c16="http://schemas.microsoft.com/office/drawing/2014/chart" uri="{C3380CC4-5D6E-409C-BE32-E72D297353CC}">
              <c16:uniqueId val="{00000006-714B-45C1-85F4-2C002F4E2779}"/>
            </c:ext>
          </c:extLst>
        </c:ser>
        <c:dLbls>
          <c:showLegendKey val="0"/>
          <c:showVal val="0"/>
          <c:showCatName val="1"/>
          <c:showSerName val="0"/>
          <c:showPercent val="1"/>
          <c:showBubbleSize val="0"/>
          <c:showLeaderLines val="1"/>
        </c:dLbls>
        <c:firstSliceAng val="0"/>
        <c:holeSize val="50"/>
      </c:doughnut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s-NI"/>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1000" b="1" i="0" u="none" strike="noStrike" kern="1200" spc="0" baseline="0">
                <a:solidFill>
                  <a:sysClr val="windowText" lastClr="000000"/>
                </a:solidFill>
                <a:latin typeface="+mn-lt"/>
                <a:ea typeface="+mn-ea"/>
                <a:cs typeface="+mn-cs"/>
              </a:defRPr>
            </a:pPr>
            <a:r>
              <a:rPr lang="en-US" sz="1000" b="1"/>
              <a:t>Grafico</a:t>
            </a:r>
            <a:r>
              <a:rPr lang="en-US" sz="1000" b="1" baseline="0"/>
              <a:t> 2. </a:t>
            </a:r>
            <a:r>
              <a:rPr lang="en-US" sz="1000" b="1"/>
              <a:t>Gasto en Tuberculosis por Origen del Financiamiento</a:t>
            </a:r>
          </a:p>
          <a:p>
            <a:pPr>
              <a:defRPr lang="es-ES" sz="1000" b="1" i="0" u="none" strike="noStrike" kern="1200" spc="0" baseline="0">
                <a:solidFill>
                  <a:sysClr val="windowText" lastClr="000000"/>
                </a:solidFill>
                <a:latin typeface="+mn-lt"/>
                <a:ea typeface="+mn-ea"/>
                <a:cs typeface="+mn-cs"/>
              </a:defRPr>
            </a:pPr>
            <a:r>
              <a:rPr lang="en-US" sz="1000" b="1"/>
              <a:t>Nicaragua 2016</a:t>
            </a:r>
          </a:p>
          <a:p>
            <a:pPr>
              <a:defRPr lang="es-ES" sz="1000" b="1" i="0" u="none" strike="noStrike" kern="1200" spc="0" baseline="0">
                <a:solidFill>
                  <a:sysClr val="windowText" lastClr="000000"/>
                </a:solidFill>
                <a:latin typeface="+mn-lt"/>
                <a:ea typeface="+mn-ea"/>
                <a:cs typeface="+mn-cs"/>
              </a:defRPr>
            </a:pPr>
            <a:endParaRPr lang="en-US" sz="1000" b="1"/>
          </a:p>
        </c:rich>
      </c:tx>
      <c:layout>
        <c:manualLayout>
          <c:xMode val="edge"/>
          <c:yMode val="edge"/>
          <c:x val="0.19023190594326395"/>
          <c:y val="0"/>
        </c:manualLayout>
      </c:layout>
      <c:overlay val="0"/>
      <c:spPr>
        <a:noFill/>
        <a:ln>
          <a:noFill/>
        </a:ln>
        <a:effectLst/>
      </c:spPr>
    </c:title>
    <c:autoTitleDeleted val="0"/>
    <c:plotArea>
      <c:layout>
        <c:manualLayout>
          <c:layoutTarget val="inner"/>
          <c:xMode val="edge"/>
          <c:yMode val="edge"/>
          <c:x val="0.33673307169585898"/>
          <c:y val="0.3086003535272378"/>
          <c:w val="0.42347767646009482"/>
          <c:h val="0.58583136291637017"/>
        </c:manualLayout>
      </c:layout>
      <c:doughnutChart>
        <c:varyColors val="1"/>
        <c:ser>
          <c:idx val="0"/>
          <c:order val="0"/>
          <c:tx>
            <c:strRef>
              <c:f>'Gasto por fuente'!$D$13</c:f>
              <c:strCache>
                <c:ptCount val="1"/>
                <c:pt idx="0">
                  <c:v>2016</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714B-45C1-85F4-2C002F4E2779}"/>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714B-45C1-85F4-2C002F4E2779}"/>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714B-45C1-85F4-2C002F4E2779}"/>
              </c:ext>
            </c:extLst>
          </c:dPt>
          <c:dLbls>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ysClr val="windowText" lastClr="000000"/>
                    </a:solidFill>
                    <a:latin typeface="+mn-lt"/>
                    <a:ea typeface="+mn-ea"/>
                    <a:cs typeface="+mn-cs"/>
                  </a:defRPr>
                </a:pPr>
                <a:endParaRPr lang="es-NI"/>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'Gasto por fuente'!$A$14:$A$16</c:f>
              <c:strCache>
                <c:ptCount val="3"/>
                <c:pt idx="0">
                  <c:v>Públicas</c:v>
                </c:pt>
                <c:pt idx="1">
                  <c:v>Privadas</c:v>
                </c:pt>
                <c:pt idx="2">
                  <c:v>Internacionales</c:v>
                </c:pt>
              </c:strCache>
            </c:strRef>
          </c:cat>
          <c:val>
            <c:numRef>
              <c:f>'Gasto por fuente'!$D$14:$D$16</c:f>
              <c:numCache>
                <c:formatCode>General</c:formatCode>
                <c:ptCount val="3"/>
                <c:pt idx="0">
                  <c:v>2.9</c:v>
                </c:pt>
                <c:pt idx="1">
                  <c:v>0.16</c:v>
                </c:pt>
                <c:pt idx="2">
                  <c:v>1.55</c:v>
                </c:pt>
              </c:numCache>
            </c:numRef>
          </c:val>
          <c:extLst>
            <c:ext xmlns:c16="http://schemas.microsoft.com/office/drawing/2014/chart" uri="{C3380CC4-5D6E-409C-BE32-E72D297353CC}">
              <c16:uniqueId val="{00000006-714B-45C1-85F4-2C002F4E2779}"/>
            </c:ext>
          </c:extLst>
        </c:ser>
        <c:dLbls>
          <c:showLegendKey val="0"/>
          <c:showVal val="0"/>
          <c:showCatName val="1"/>
          <c:showSerName val="0"/>
          <c:showPercent val="1"/>
          <c:showBubbleSize val="0"/>
          <c:showLeaderLines val="1"/>
        </c:dLbls>
        <c:firstSliceAng val="0"/>
        <c:holeSize val="50"/>
      </c:doughnut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s-NI"/>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1400" b="0" i="0" u="none" strike="noStrike" kern="1200" spc="0" baseline="0">
                <a:solidFill>
                  <a:sysClr val="windowText" lastClr="000000"/>
                </a:solidFill>
                <a:latin typeface="+mn-lt"/>
                <a:ea typeface="+mn-ea"/>
                <a:cs typeface="+mn-cs"/>
              </a:defRPr>
            </a:pPr>
            <a:r>
              <a:rPr lang="es-NI" sz="800" b="0" i="0" u="none" strike="noStrike" baseline="0">
                <a:effectLst/>
              </a:rPr>
              <a:t>Gráfico 5. Participación en la ejecución de fondos para la provisión de servicios por tipo de proveedor</a:t>
            </a:r>
            <a:br>
              <a:rPr lang="es-NI" sz="800" b="0" i="0" u="none" strike="noStrike" baseline="0">
                <a:effectLst/>
              </a:rPr>
            </a:br>
            <a:r>
              <a:rPr lang="es-NI" sz="800" b="0" i="0" u="none" strike="noStrike" baseline="0">
                <a:effectLst/>
              </a:rPr>
              <a:t>Nicaragua, 2017</a:t>
            </a:r>
            <a:endParaRPr lang="en-US"/>
          </a:p>
        </c:rich>
      </c:tx>
      <c:layout>
        <c:manualLayout>
          <c:xMode val="edge"/>
          <c:yMode val="edge"/>
          <c:x val="0.11587235806050561"/>
          <c:y val="5.4384772263766167E-2"/>
        </c:manualLayout>
      </c:layout>
      <c:overlay val="0"/>
      <c:spPr>
        <a:noFill/>
        <a:ln>
          <a:noFill/>
        </a:ln>
        <a:effectLst/>
      </c:spPr>
    </c:title>
    <c:autoTitleDeleted val="0"/>
    <c:plotArea>
      <c:layout>
        <c:manualLayout>
          <c:layoutTarget val="inner"/>
          <c:xMode val="edge"/>
          <c:yMode val="edge"/>
          <c:x val="0.34670459933617831"/>
          <c:y val="0.40278721957851804"/>
          <c:w val="0.30184921763869138"/>
          <c:h val="0.43276682528891924"/>
        </c:manualLayout>
      </c:layout>
      <c:pieChart>
        <c:varyColors val="1"/>
        <c:ser>
          <c:idx val="0"/>
          <c:order val="0"/>
          <c:tx>
            <c:strRef>
              <c:f>'Gasto por Tipo proveedor'!$C$15</c:f>
              <c:strCache>
                <c:ptCount val="1"/>
                <c:pt idx="0">
                  <c:v>2015</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557-4B47-850E-6D84DD00750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557-4B47-850E-6D84DD007501}"/>
              </c:ext>
            </c:extLst>
          </c:dPt>
          <c:dLbls>
            <c:dLbl>
              <c:idx val="0"/>
              <c:layout>
                <c:manualLayout>
                  <c:x val="0.11647686260275598"/>
                  <c:y val="-0.1056424201223657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557-4B47-850E-6D84DD007501}"/>
                </c:ext>
              </c:extLst>
            </c:dLbl>
            <c:dLbl>
              <c:idx val="1"/>
              <c:layout>
                <c:manualLayout>
                  <c:x val="-0.26431304906232383"/>
                  <c:y val="0.1344872254666331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557-4B47-850E-6D84DD007501}"/>
                </c:ext>
              </c:extLst>
            </c:dLbl>
            <c:spPr>
              <a:noFill/>
              <a:ln>
                <a:noFill/>
              </a:ln>
              <a:effectLst/>
            </c:spPr>
            <c:txPr>
              <a:bodyPr rot="0" spcFirstLastPara="1" vertOverflow="ellipsis" vert="horz" wrap="square" anchor="ctr" anchorCtr="1"/>
              <a:lstStyle/>
              <a:p>
                <a:pPr>
                  <a:defRPr lang="es-ES" sz="800" b="0" i="0" u="none" strike="noStrike" kern="1200" baseline="0">
                    <a:solidFill>
                      <a:sysClr val="windowText" lastClr="000000"/>
                    </a:solidFill>
                    <a:latin typeface="+mn-lt"/>
                    <a:ea typeface="+mn-ea"/>
                    <a:cs typeface="+mn-cs"/>
                  </a:defRPr>
                </a:pPr>
                <a:endParaRPr lang="es-NI"/>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'Gasto por Tipo proveedor'!$A$16:$A$17</c:f>
              <c:strCache>
                <c:ptCount val="2"/>
                <c:pt idx="0">
                  <c:v>Proveedores Públicos</c:v>
                </c:pt>
                <c:pt idx="1">
                  <c:v>Proveedores Privados</c:v>
                </c:pt>
              </c:strCache>
            </c:strRef>
          </c:cat>
          <c:val>
            <c:numRef>
              <c:f>'Gasto por Tipo proveedor'!$C$16:$C$17</c:f>
              <c:numCache>
                <c:formatCode>0.00</c:formatCode>
                <c:ptCount val="2"/>
                <c:pt idx="0">
                  <c:v>3.96</c:v>
                </c:pt>
                <c:pt idx="1">
                  <c:v>0.42500000000000016</c:v>
                </c:pt>
              </c:numCache>
            </c:numRef>
          </c:val>
          <c:extLst>
            <c:ext xmlns:c16="http://schemas.microsoft.com/office/drawing/2014/chart" uri="{C3380CC4-5D6E-409C-BE32-E72D297353CC}">
              <c16:uniqueId val="{00000004-A557-4B47-850E-6D84DD007501}"/>
            </c:ext>
          </c:extLst>
        </c:ser>
        <c:ser>
          <c:idx val="1"/>
          <c:order val="1"/>
          <c:tx>
            <c:strRef>
              <c:f>'Gasto por Tipo proveedor'!$D$15</c:f>
              <c:strCache>
                <c:ptCount val="1"/>
                <c:pt idx="0">
                  <c:v>2016</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5-CA2F-44B0-B335-3EA3C911C32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7-CA2F-44B0-B335-3EA3C911C328}"/>
              </c:ext>
            </c:extLst>
          </c:dPt>
          <c:dLbls>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ysClr val="windowText" lastClr="000000"/>
                    </a:solidFill>
                    <a:latin typeface="+mn-lt"/>
                    <a:ea typeface="+mn-ea"/>
                    <a:cs typeface="+mn-cs"/>
                  </a:defRPr>
                </a:pPr>
                <a:endParaRPr lang="es-NI"/>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'Gasto por Tipo proveedor'!$A$16:$A$17</c:f>
              <c:strCache>
                <c:ptCount val="2"/>
                <c:pt idx="0">
                  <c:v>Proveedores Públicos</c:v>
                </c:pt>
                <c:pt idx="1">
                  <c:v>Proveedores Privados</c:v>
                </c:pt>
              </c:strCache>
            </c:strRef>
          </c:cat>
          <c:val>
            <c:numRef>
              <c:f>'Gasto por Tipo proveedor'!$D$16:$D$17</c:f>
              <c:numCache>
                <c:formatCode>0.00</c:formatCode>
                <c:ptCount val="2"/>
                <c:pt idx="0">
                  <c:v>4.1899999999999995</c:v>
                </c:pt>
                <c:pt idx="1">
                  <c:v>0.4200000000000001</c:v>
                </c:pt>
              </c:numCache>
            </c:numRef>
          </c:val>
          <c:extLst>
            <c:ext xmlns:c16="http://schemas.microsoft.com/office/drawing/2014/chart" uri="{C3380CC4-5D6E-409C-BE32-E72D297353CC}">
              <c16:uniqueId val="{00000008-CA2F-44B0-B335-3EA3C911C328}"/>
            </c:ext>
          </c:extLst>
        </c:ser>
        <c:ser>
          <c:idx val="2"/>
          <c:order val="2"/>
          <c:tx>
            <c:strRef>
              <c:f>'Gasto por Tipo proveedor'!$E$15</c:f>
              <c:strCache>
                <c:ptCount val="1"/>
                <c:pt idx="0">
                  <c:v>2017</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CA2F-44B0-B335-3EA3C911C32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CA2F-44B0-B335-3EA3C911C328}"/>
              </c:ext>
            </c:extLst>
          </c:dPt>
          <c:dLbls>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ysClr val="windowText" lastClr="000000"/>
                    </a:solidFill>
                    <a:latin typeface="+mn-lt"/>
                    <a:ea typeface="+mn-ea"/>
                    <a:cs typeface="+mn-cs"/>
                  </a:defRPr>
                </a:pPr>
                <a:endParaRPr lang="es-NI"/>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'Gasto por Tipo proveedor'!$A$16:$A$17</c:f>
              <c:strCache>
                <c:ptCount val="2"/>
                <c:pt idx="0">
                  <c:v>Proveedores Públicos</c:v>
                </c:pt>
                <c:pt idx="1">
                  <c:v>Proveedores Privados</c:v>
                </c:pt>
              </c:strCache>
            </c:strRef>
          </c:cat>
          <c:val>
            <c:numRef>
              <c:f>'Gasto por Tipo proveedor'!$E$16:$E$17</c:f>
              <c:numCache>
                <c:formatCode>0.00</c:formatCode>
                <c:ptCount val="2"/>
                <c:pt idx="0" formatCode="General">
                  <c:v>4.79</c:v>
                </c:pt>
                <c:pt idx="1">
                  <c:v>0.6000000000000002</c:v>
                </c:pt>
              </c:numCache>
            </c:numRef>
          </c:val>
          <c:extLst>
            <c:ext xmlns:c16="http://schemas.microsoft.com/office/drawing/2014/chart" uri="{C3380CC4-5D6E-409C-BE32-E72D297353CC}">
              <c16:uniqueId val="{0000000D-CA2F-44B0-B335-3EA3C911C328}"/>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s-NI"/>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800" b="0" i="0" u="none" strike="noStrike" kern="1200" spc="0" baseline="0">
                <a:solidFill>
                  <a:sysClr val="windowText" lastClr="000000"/>
                </a:solidFill>
                <a:latin typeface="+mn-lt"/>
                <a:ea typeface="+mn-ea"/>
                <a:cs typeface="+mn-cs"/>
              </a:defRPr>
            </a:pPr>
            <a:r>
              <a:rPr lang="es-NI" sz="800" b="0" i="0" u="none" strike="noStrike" baseline="0">
                <a:effectLst/>
              </a:rPr>
              <a:t>Graáfico 4. Participación en la ejecución de fondos para la provisión de servicios por tipo de proveedor</a:t>
            </a:r>
            <a:br>
              <a:rPr lang="es-NI" sz="800" b="0" i="0" u="none" strike="noStrike" baseline="0">
                <a:effectLst/>
              </a:rPr>
            </a:br>
            <a:r>
              <a:rPr lang="es-NI" sz="800" b="0" i="0" u="none" strike="noStrike" baseline="0">
                <a:effectLst/>
              </a:rPr>
              <a:t>Nicaragua, 2016</a:t>
            </a:r>
          </a:p>
          <a:p>
            <a:pPr>
              <a:defRPr lang="es-ES" sz="800" b="0" i="0" u="none" strike="noStrike" kern="1200" spc="0" baseline="0">
                <a:solidFill>
                  <a:sysClr val="windowText" lastClr="000000"/>
                </a:solidFill>
                <a:latin typeface="+mn-lt"/>
                <a:ea typeface="+mn-ea"/>
                <a:cs typeface="+mn-cs"/>
              </a:defRPr>
            </a:pPr>
            <a:endParaRPr lang="en-US" sz="800"/>
          </a:p>
        </c:rich>
      </c:tx>
      <c:overlay val="0"/>
      <c:spPr>
        <a:noFill/>
        <a:ln>
          <a:noFill/>
        </a:ln>
        <a:effectLst/>
      </c:spPr>
    </c:title>
    <c:autoTitleDeleted val="0"/>
    <c:plotArea>
      <c:layout/>
      <c:pieChart>
        <c:varyColors val="1"/>
        <c:ser>
          <c:idx val="0"/>
          <c:order val="0"/>
          <c:tx>
            <c:strRef>
              <c:f>'Gasto por Tipo proveedor'!$B$15</c:f>
              <c:strCache>
                <c:ptCount val="1"/>
                <c:pt idx="0">
                  <c:v>2014</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D51-4F8B-A54F-2542ECE6FE5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D51-4F8B-A54F-2542ECE6FE55}"/>
              </c:ext>
            </c:extLst>
          </c:dPt>
          <c:dLbls>
            <c:spPr>
              <a:noFill/>
              <a:ln>
                <a:noFill/>
              </a:ln>
              <a:effectLst/>
            </c:spPr>
            <c:txPr>
              <a:bodyPr rot="0" spcFirstLastPara="1" vertOverflow="ellipsis" vert="horz" wrap="square" anchor="ctr" anchorCtr="1"/>
              <a:lstStyle/>
              <a:p>
                <a:pPr>
                  <a:defRPr lang="es-ES" sz="800" b="0" i="0" u="none" strike="noStrike" kern="1200" baseline="0">
                    <a:solidFill>
                      <a:sysClr val="windowText" lastClr="000000"/>
                    </a:solidFill>
                    <a:latin typeface="+mn-lt"/>
                    <a:ea typeface="+mn-ea"/>
                    <a:cs typeface="+mn-cs"/>
                  </a:defRPr>
                </a:pPr>
                <a:endParaRPr lang="es-NI"/>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'Gasto por Tipo proveedor'!$A$16:$A$17</c:f>
              <c:strCache>
                <c:ptCount val="2"/>
                <c:pt idx="0">
                  <c:v>Proveedores Públicos</c:v>
                </c:pt>
                <c:pt idx="1">
                  <c:v>Proveedores Privados</c:v>
                </c:pt>
              </c:strCache>
            </c:strRef>
          </c:cat>
          <c:val>
            <c:numRef>
              <c:f>'Gasto por Tipo proveedor'!$B$16:$B$17</c:f>
              <c:numCache>
                <c:formatCode>0.00</c:formatCode>
                <c:ptCount val="2"/>
                <c:pt idx="0">
                  <c:v>3.16</c:v>
                </c:pt>
                <c:pt idx="1">
                  <c:v>0.38000000000000012</c:v>
                </c:pt>
              </c:numCache>
            </c:numRef>
          </c:val>
          <c:extLst>
            <c:ext xmlns:c16="http://schemas.microsoft.com/office/drawing/2014/chart" uri="{C3380CC4-5D6E-409C-BE32-E72D297353CC}">
              <c16:uniqueId val="{00000004-0D51-4F8B-A54F-2542ECE6FE55}"/>
            </c:ext>
          </c:extLst>
        </c:ser>
        <c:ser>
          <c:idx val="1"/>
          <c:order val="1"/>
          <c:tx>
            <c:strRef>
              <c:f>'Gasto por Tipo proveedor'!$C$15</c:f>
              <c:strCache>
                <c:ptCount val="1"/>
                <c:pt idx="0">
                  <c:v>2015</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5-057D-47AF-AB35-2E084BC9F41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7-057D-47AF-AB35-2E084BC9F41F}"/>
              </c:ext>
            </c:extLst>
          </c:dPt>
          <c:dLbls>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ysClr val="windowText" lastClr="000000"/>
                    </a:solidFill>
                    <a:latin typeface="+mn-lt"/>
                    <a:ea typeface="+mn-ea"/>
                    <a:cs typeface="+mn-cs"/>
                  </a:defRPr>
                </a:pPr>
                <a:endParaRPr lang="es-NI"/>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'Gasto por Tipo proveedor'!$A$16:$A$17</c:f>
              <c:strCache>
                <c:ptCount val="2"/>
                <c:pt idx="0">
                  <c:v>Proveedores Públicos</c:v>
                </c:pt>
                <c:pt idx="1">
                  <c:v>Proveedores Privados</c:v>
                </c:pt>
              </c:strCache>
            </c:strRef>
          </c:cat>
          <c:val>
            <c:numRef>
              <c:f>'Gasto por Tipo proveedor'!$C$16:$C$17</c:f>
              <c:numCache>
                <c:formatCode>0.00</c:formatCode>
                <c:ptCount val="2"/>
                <c:pt idx="0">
                  <c:v>3.96</c:v>
                </c:pt>
                <c:pt idx="1">
                  <c:v>0.42500000000000016</c:v>
                </c:pt>
              </c:numCache>
            </c:numRef>
          </c:val>
          <c:extLst>
            <c:ext xmlns:c16="http://schemas.microsoft.com/office/drawing/2014/chart" uri="{C3380CC4-5D6E-409C-BE32-E72D297353CC}">
              <c16:uniqueId val="{00000008-057D-47AF-AB35-2E084BC9F41F}"/>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s-NI"/>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1400" b="0" i="0" u="none" strike="noStrike" kern="1200" spc="0" baseline="0">
                <a:solidFill>
                  <a:sysClr val="windowText" lastClr="000000"/>
                </a:solidFill>
                <a:latin typeface="+mn-lt"/>
                <a:ea typeface="+mn-ea"/>
                <a:cs typeface="+mn-cs"/>
              </a:defRPr>
            </a:pPr>
            <a:r>
              <a:rPr lang="es-NI" sz="1000" b="0" i="0" u="none" strike="noStrike" baseline="0">
                <a:effectLst/>
              </a:rPr>
              <a:t>Grafico 6. Distribución de fondos por categorías principales de gasto</a:t>
            </a:r>
            <a:br>
              <a:rPr lang="es-NI" sz="1000" b="0" i="0" u="none" strike="noStrike" baseline="0">
                <a:effectLst/>
              </a:rPr>
            </a:br>
            <a:r>
              <a:rPr lang="es-NI" sz="1000" b="0" i="0" u="none" strike="noStrike" baseline="0">
                <a:effectLst/>
              </a:rPr>
              <a:t>Nicaragua, 2016-2017</a:t>
            </a:r>
            <a:endParaRPr lang="es-NI" sz="1000"/>
          </a:p>
        </c:rich>
      </c:tx>
      <c:overlay val="0"/>
      <c:spPr>
        <a:noFill/>
        <a:ln>
          <a:noFill/>
        </a:ln>
        <a:effectLst/>
      </c:spPr>
    </c:title>
    <c:autoTitleDeleted val="0"/>
    <c:plotArea>
      <c:layout/>
      <c:barChart>
        <c:barDir val="bar"/>
        <c:grouping val="clustered"/>
        <c:varyColors val="0"/>
        <c:ser>
          <c:idx val="0"/>
          <c:order val="0"/>
          <c:tx>
            <c:strRef>
              <c:f>'Gasto por categoria'!$J$17</c:f>
              <c:strCache>
                <c:ptCount val="1"/>
                <c:pt idx="0">
                  <c:v>2016</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s-ES" sz="600" b="0" i="0" u="none" strike="noStrike" kern="1200" baseline="0">
                    <a:solidFill>
                      <a:sysClr val="windowText" lastClr="000000"/>
                    </a:solidFill>
                    <a:latin typeface="+mn-lt"/>
                    <a:ea typeface="+mn-ea"/>
                    <a:cs typeface="+mn-cs"/>
                  </a:defRPr>
                </a:pPr>
                <a:endParaRPr lang="es-N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'Gasto por categoria'!$G$18:$G$26</c:f>
              <c:strCache>
                <c:ptCount val="9"/>
                <c:pt idx="0">
                  <c:v>Intervenciones de TB y VIH/SIDA colaborativas</c:v>
                </c:pt>
                <c:pt idx="1">
                  <c:v>Presentación de informes rutinarios</c:v>
                </c:pt>
                <c:pt idx="2">
                  <c:v>Tratamiento</c:v>
                </c:pt>
                <c:pt idx="3">
                  <c:v>Entorno Favorable</c:v>
                </c:pt>
                <c:pt idx="4">
                  <c:v>Apoyo al paciente</c:v>
                </c:pt>
                <c:pt idx="5">
                  <c:v>Organización de servicios y gestión de instalaciones</c:v>
                </c:pt>
                <c:pt idx="6">
                  <c:v>Prestación de servicios</c:v>
                </c:pt>
                <c:pt idx="7">
                  <c:v>Prevención y Atención de la Tuberculosis</c:v>
                </c:pt>
                <c:pt idx="8">
                  <c:v>Administración del programa</c:v>
                </c:pt>
              </c:strCache>
            </c:strRef>
          </c:cat>
          <c:val>
            <c:numRef>
              <c:f>'Gasto por categoria'!$J$18:$J$26</c:f>
              <c:numCache>
                <c:formatCode>0.00%</c:formatCode>
                <c:ptCount val="9"/>
                <c:pt idx="0">
                  <c:v>2.4704088759513591E-3</c:v>
                </c:pt>
                <c:pt idx="1">
                  <c:v>1.5267350902554061E-4</c:v>
                </c:pt>
                <c:pt idx="2">
                  <c:v>2.2399229494321882E-2</c:v>
                </c:pt>
                <c:pt idx="3">
                  <c:v>5.6338495341812678E-2</c:v>
                </c:pt>
                <c:pt idx="4">
                  <c:v>8.0359476650109854E-2</c:v>
                </c:pt>
                <c:pt idx="5">
                  <c:v>0.15215486613914592</c:v>
                </c:pt>
                <c:pt idx="6">
                  <c:v>0.11914635759643027</c:v>
                </c:pt>
                <c:pt idx="7">
                  <c:v>0.18092339768315466</c:v>
                </c:pt>
                <c:pt idx="8">
                  <c:v>0.38605509471004812</c:v>
                </c:pt>
              </c:numCache>
            </c:numRef>
          </c:val>
          <c:extLst>
            <c:ext xmlns:c16="http://schemas.microsoft.com/office/drawing/2014/chart" uri="{C3380CC4-5D6E-409C-BE32-E72D297353CC}">
              <c16:uniqueId val="{00000000-DDC5-4B00-889D-45041623E666}"/>
            </c:ext>
          </c:extLst>
        </c:ser>
        <c:ser>
          <c:idx val="1"/>
          <c:order val="1"/>
          <c:tx>
            <c:strRef>
              <c:f>'Gasto por categoria'!$K$17</c:f>
              <c:strCache>
                <c:ptCount val="1"/>
                <c:pt idx="0">
                  <c:v>2017</c:v>
                </c:pt>
              </c:strCache>
            </c:strRef>
          </c:tx>
          <c:spPr>
            <a:solidFill>
              <a:srgbClr val="0070C0"/>
            </a:solidFill>
            <a:ln>
              <a:solidFill>
                <a:srgbClr val="0070C0"/>
              </a:solidFill>
            </a:ln>
            <a:effectLst/>
          </c:spPr>
          <c:invertIfNegative val="0"/>
          <c:dLbls>
            <c:dLbl>
              <c:idx val="3"/>
              <c:layout>
                <c:manualLayout>
                  <c:x val="-1.3296914993689078E-16"/>
                  <c:y val="-1.00586756077116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3A4-43A7-9AF6-C563C1457A48}"/>
                </c:ext>
              </c:extLst>
            </c:dLbl>
            <c:dLbl>
              <c:idx val="8"/>
              <c:spPr>
                <a:noFill/>
                <a:ln>
                  <a:noFill/>
                </a:ln>
                <a:effectLst/>
              </c:spPr>
              <c:txPr>
                <a:bodyPr rot="0" spcFirstLastPara="1" vertOverflow="ellipsis" vert="horz" wrap="square" lIns="38100" tIns="19050" rIns="38100" bIns="19050" anchor="ctr" anchorCtr="1">
                  <a:spAutoFit/>
                </a:bodyPr>
                <a:lstStyle/>
                <a:p>
                  <a:pPr>
                    <a:defRPr lang="es-ES" sz="600" b="0" i="0" u="none" strike="noStrike" kern="1200" baseline="0">
                      <a:solidFill>
                        <a:sysClr val="windowText" lastClr="000000"/>
                      </a:solidFill>
                      <a:latin typeface="+mn-lt"/>
                      <a:ea typeface="+mn-ea"/>
                      <a:cs typeface="+mn-cs"/>
                    </a:defRPr>
                  </a:pPr>
                  <a:endParaRPr lang="es-NI"/>
                </a:p>
              </c:txPr>
              <c:showLegendKey val="0"/>
              <c:showVal val="1"/>
              <c:showCatName val="0"/>
              <c:showSerName val="0"/>
              <c:showPercent val="0"/>
              <c:showBubbleSize val="0"/>
              <c:extLst>
                <c:ext xmlns:c16="http://schemas.microsoft.com/office/drawing/2014/chart" uri="{C3380CC4-5D6E-409C-BE32-E72D297353CC}">
                  <c16:uniqueId val="{00000001-23A4-43A7-9AF6-C563C1457A48}"/>
                </c:ext>
              </c:extLst>
            </c:dLbl>
            <c:spPr>
              <a:noFill/>
              <a:ln>
                <a:noFill/>
              </a:ln>
              <a:effectLst/>
            </c:spPr>
            <c:txPr>
              <a:bodyPr rot="0" spcFirstLastPara="1" vertOverflow="ellipsis" vert="horz" wrap="square" lIns="38100" tIns="19050" rIns="38100" bIns="19050" anchor="ctr" anchorCtr="1">
                <a:spAutoFit/>
              </a:bodyPr>
              <a:lstStyle/>
              <a:p>
                <a:pPr>
                  <a:defRPr lang="es-ES" sz="800" b="0" i="0" u="none" strike="noStrike" kern="1200" baseline="0">
                    <a:solidFill>
                      <a:sysClr val="windowText" lastClr="000000"/>
                    </a:solidFill>
                    <a:latin typeface="+mn-lt"/>
                    <a:ea typeface="+mn-ea"/>
                    <a:cs typeface="+mn-cs"/>
                  </a:defRPr>
                </a:pPr>
                <a:endParaRPr lang="es-N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'Gasto por categoria'!$G$18:$G$26</c:f>
              <c:strCache>
                <c:ptCount val="9"/>
                <c:pt idx="0">
                  <c:v>Intervenciones de TB y VIH/SIDA colaborativas</c:v>
                </c:pt>
                <c:pt idx="1">
                  <c:v>Presentación de informes rutinarios</c:v>
                </c:pt>
                <c:pt idx="2">
                  <c:v>Tratamiento</c:v>
                </c:pt>
                <c:pt idx="3">
                  <c:v>Entorno Favorable</c:v>
                </c:pt>
                <c:pt idx="4">
                  <c:v>Apoyo al paciente</c:v>
                </c:pt>
                <c:pt idx="5">
                  <c:v>Organización de servicios y gestión de instalaciones</c:v>
                </c:pt>
                <c:pt idx="6">
                  <c:v>Prestación de servicios</c:v>
                </c:pt>
                <c:pt idx="7">
                  <c:v>Prevención y Atención de la Tuberculosis</c:v>
                </c:pt>
                <c:pt idx="8">
                  <c:v>Administración del programa</c:v>
                </c:pt>
              </c:strCache>
            </c:strRef>
          </c:cat>
          <c:val>
            <c:numRef>
              <c:f>'Gasto por categoria'!$K$18:$K$26</c:f>
              <c:numCache>
                <c:formatCode>0.00%</c:formatCode>
                <c:ptCount val="9"/>
                <c:pt idx="0">
                  <c:v>4.1808833031651638E-3</c:v>
                </c:pt>
                <c:pt idx="1">
                  <c:v>1.3247471299624164E-2</c:v>
                </c:pt>
                <c:pt idx="2">
                  <c:v>2.4019271948426721E-2</c:v>
                </c:pt>
                <c:pt idx="3">
                  <c:v>7.5905491042732087E-2</c:v>
                </c:pt>
                <c:pt idx="4">
                  <c:v>8.4209877553181364E-2</c:v>
                </c:pt>
                <c:pt idx="5">
                  <c:v>9.270868079912023E-2</c:v>
                </c:pt>
                <c:pt idx="6">
                  <c:v>0.11443889871746019</c:v>
                </c:pt>
                <c:pt idx="7">
                  <c:v>0.23938434868042593</c:v>
                </c:pt>
                <c:pt idx="8">
                  <c:v>0.3519050766558644</c:v>
                </c:pt>
              </c:numCache>
            </c:numRef>
          </c:val>
          <c:extLst>
            <c:ext xmlns:c16="http://schemas.microsoft.com/office/drawing/2014/chart" uri="{C3380CC4-5D6E-409C-BE32-E72D297353CC}">
              <c16:uniqueId val="{00000001-DDC5-4B00-889D-45041623E666}"/>
            </c:ext>
          </c:extLst>
        </c:ser>
        <c:dLbls>
          <c:showLegendKey val="0"/>
          <c:showVal val="1"/>
          <c:showCatName val="0"/>
          <c:showSerName val="0"/>
          <c:showPercent val="0"/>
          <c:showBubbleSize val="0"/>
        </c:dLbls>
        <c:gapWidth val="150"/>
        <c:overlap val="-25"/>
        <c:axId val="362201528"/>
        <c:axId val="362204272"/>
      </c:barChart>
      <c:catAx>
        <c:axId val="3622015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ysClr val="windowText" lastClr="000000"/>
                </a:solidFill>
                <a:latin typeface="+mn-lt"/>
                <a:ea typeface="+mn-ea"/>
                <a:cs typeface="+mn-cs"/>
              </a:defRPr>
            </a:pPr>
            <a:endParaRPr lang="es-NI"/>
          </a:p>
        </c:txPr>
        <c:crossAx val="362204272"/>
        <c:crosses val="autoZero"/>
        <c:auto val="1"/>
        <c:lblAlgn val="ctr"/>
        <c:lblOffset val="100"/>
        <c:noMultiLvlLbl val="0"/>
      </c:catAx>
      <c:valAx>
        <c:axId val="362204272"/>
        <c:scaling>
          <c:orientation val="minMax"/>
        </c:scaling>
        <c:delete val="1"/>
        <c:axPos val="b"/>
        <c:numFmt formatCode="0.00%" sourceLinked="1"/>
        <c:majorTickMark val="none"/>
        <c:minorTickMark val="none"/>
        <c:tickLblPos val="nextTo"/>
        <c:crossAx val="362201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s-ES" sz="900" b="0" i="0" u="none" strike="noStrike" kern="1200" baseline="0">
              <a:solidFill>
                <a:sysClr val="windowText" lastClr="000000"/>
              </a:solidFill>
              <a:latin typeface="+mn-lt"/>
              <a:ea typeface="+mn-ea"/>
              <a:cs typeface="+mn-cs"/>
            </a:defRPr>
          </a:pPr>
          <a:endParaRPr lang="es-N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s-NI"/>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1000" b="0" i="0" u="none" strike="noStrike" kern="1200" spc="0" baseline="0">
                <a:solidFill>
                  <a:sysClr val="windowText" lastClr="000000"/>
                </a:solidFill>
                <a:latin typeface="+mn-lt"/>
                <a:ea typeface="+mn-ea"/>
                <a:cs typeface="+mn-cs"/>
              </a:defRPr>
            </a:pPr>
            <a:r>
              <a:rPr lang="es-NI" sz="1000" b="0" i="0" baseline="0">
                <a:effectLst/>
              </a:rPr>
              <a:t>Gráfico 7. Destino del gasto en Tuberculosis por Grupos Meta</a:t>
            </a:r>
            <a:br>
              <a:rPr lang="es-NI" sz="1000" b="0" i="0" baseline="0">
                <a:effectLst/>
              </a:rPr>
            </a:br>
            <a:r>
              <a:rPr lang="es-NI" sz="1000" b="0" i="0" baseline="0">
                <a:effectLst/>
              </a:rPr>
              <a:t>Nicaragua, 2014-2017</a:t>
            </a:r>
            <a:br>
              <a:rPr lang="es-NI" sz="1000" b="0" i="0" baseline="0">
                <a:effectLst/>
              </a:rPr>
            </a:br>
            <a:r>
              <a:rPr lang="es-NI" sz="1000" b="0" i="0" baseline="0">
                <a:effectLst/>
              </a:rPr>
              <a:t>cifras en millones US Dólares</a:t>
            </a:r>
            <a:endParaRPr lang="es-NI" sz="1000" b="0">
              <a:effectLst/>
            </a:endParaRPr>
          </a:p>
        </c:rich>
      </c:tx>
      <c:overlay val="0"/>
      <c:spPr>
        <a:noFill/>
        <a:ln>
          <a:noFill/>
        </a:ln>
        <a:effectLst/>
      </c:spPr>
    </c:title>
    <c:autoTitleDeleted val="0"/>
    <c:plotArea>
      <c:layout/>
      <c:barChart>
        <c:barDir val="bar"/>
        <c:grouping val="clustered"/>
        <c:varyColors val="0"/>
        <c:ser>
          <c:idx val="0"/>
          <c:order val="0"/>
          <c:tx>
            <c:strRef>
              <c:f>'Gasto por Poblacion'!$D$20</c:f>
              <c:strCache>
                <c:ptCount val="1"/>
                <c:pt idx="0">
                  <c:v>2016</c:v>
                </c:pt>
              </c:strCache>
            </c:strRef>
          </c:tx>
          <c:spPr>
            <a:solidFill>
              <a:schemeClr val="accent6"/>
            </a:solidFill>
            <a:ln>
              <a:noFill/>
            </a:ln>
            <a:effectLst/>
          </c:spPr>
          <c:invertIfNegative val="0"/>
          <c:dLbls>
            <c:dLbl>
              <c:idx val="12"/>
              <c:layout>
                <c:manualLayout>
                  <c:x val="3.3783788277264889E-3"/>
                  <c:y val="-3.06382896596978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A1C-437E-8C27-F741684E474A}"/>
                </c:ext>
              </c:extLst>
            </c:dLbl>
            <c:spPr>
              <a:noFill/>
              <a:ln>
                <a:noFill/>
              </a:ln>
              <a:effectLst/>
            </c:spPr>
            <c:txPr>
              <a:bodyPr rot="0" spcFirstLastPara="1" vertOverflow="ellipsis" vert="horz" wrap="square" lIns="38100" tIns="19050" rIns="38100" bIns="19050" anchor="ctr" anchorCtr="1">
                <a:spAutoFit/>
              </a:bodyPr>
              <a:lstStyle/>
              <a:p>
                <a:pPr>
                  <a:defRPr lang="es-ES" sz="600" b="0" i="0" u="none" strike="noStrike" kern="1200" baseline="0">
                    <a:solidFill>
                      <a:sysClr val="windowText" lastClr="000000"/>
                    </a:solidFill>
                    <a:latin typeface="+mn-lt"/>
                    <a:ea typeface="+mn-ea"/>
                    <a:cs typeface="+mn-cs"/>
                  </a:defRPr>
                </a:pPr>
                <a:endParaRPr lang="es-N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'Gasto por Poblacion'!$A$21:$A$33</c:f>
              <c:strCache>
                <c:ptCount val="13"/>
                <c:pt idx="0">
                  <c:v>Pacientes Uniformados con TB</c:v>
                </c:pt>
                <c:pt idx="1">
                  <c:v>Indígenas de la Costa Caribe</c:v>
                </c:pt>
                <c:pt idx="2">
                  <c:v>Personas con diabetes</c:v>
                </c:pt>
                <c:pt idx="3">
                  <c:v>Personas con VIH </c:v>
                </c:pt>
                <c:pt idx="4">
                  <c:v>Adictos al tabaco, alcohol y drogas</c:v>
                </c:pt>
                <c:pt idx="5">
                  <c:v>Niños y niñas en contacto con personas con TB  </c:v>
                </c:pt>
                <c:pt idx="6">
                  <c:v>Personas mayores de 65 años</c:v>
                </c:pt>
                <c:pt idx="7">
                  <c:v>Mujeres, niños  y niñas de aéreas marginales</c:v>
                </c:pt>
                <c:pt idx="8">
                  <c:v>Personas  en  centros  de  mayor  concentración  con  exposición  a  riesgo  de  TB (mercados, Zonas francas, trabajadores de salud)</c:v>
                </c:pt>
                <c:pt idx="9">
                  <c:v>Privados de libertad</c:v>
                </c:pt>
                <c:pt idx="10">
                  <c:v>Población General</c:v>
                </c:pt>
                <c:pt idx="11">
                  <c:v>Personas con TB </c:v>
                </c:pt>
                <c:pt idx="12">
                  <c:v>Intervenciones no dirigidas</c:v>
                </c:pt>
              </c:strCache>
            </c:strRef>
          </c:cat>
          <c:val>
            <c:numRef>
              <c:f>'Gasto por Poblacion'!$D$21:$D$33</c:f>
              <c:numCache>
                <c:formatCode>0.00</c:formatCode>
                <c:ptCount val="13"/>
                <c:pt idx="0">
                  <c:v>1.5913415029092029E-4</c:v>
                </c:pt>
                <c:pt idx="1">
                  <c:v>1.1446238448577502E-2</c:v>
                </c:pt>
                <c:pt idx="2">
                  <c:v>7.7482229498063077E-2</c:v>
                </c:pt>
                <c:pt idx="3">
                  <c:v>6.5220480042926687E-2</c:v>
                </c:pt>
                <c:pt idx="4">
                  <c:v>0.15784123991159349</c:v>
                </c:pt>
                <c:pt idx="5">
                  <c:v>1.6693501784348004E-3</c:v>
                </c:pt>
                <c:pt idx="6">
                  <c:v>0.14618038975971348</c:v>
                </c:pt>
                <c:pt idx="7">
                  <c:v>6.1741392359172441E-2</c:v>
                </c:pt>
                <c:pt idx="8">
                  <c:v>0.10830825311600202</c:v>
                </c:pt>
                <c:pt idx="9">
                  <c:v>0.3032591226784398</c:v>
                </c:pt>
                <c:pt idx="10">
                  <c:v>1.6426527977076062</c:v>
                </c:pt>
                <c:pt idx="11">
                  <c:v>1.2400613059453898</c:v>
                </c:pt>
                <c:pt idx="12">
                  <c:v>0.80583751801508519</c:v>
                </c:pt>
              </c:numCache>
            </c:numRef>
          </c:val>
          <c:extLst>
            <c:ext xmlns:c16="http://schemas.microsoft.com/office/drawing/2014/chart" uri="{C3380CC4-5D6E-409C-BE32-E72D297353CC}">
              <c16:uniqueId val="{00000000-EC03-49B5-9F28-F9F7D2EC9A72}"/>
            </c:ext>
          </c:extLst>
        </c:ser>
        <c:ser>
          <c:idx val="1"/>
          <c:order val="1"/>
          <c:tx>
            <c:strRef>
              <c:f>'Gasto por Poblacion'!$E$20</c:f>
              <c:strCache>
                <c:ptCount val="1"/>
                <c:pt idx="0">
                  <c:v>2017</c:v>
                </c:pt>
              </c:strCache>
            </c:strRef>
          </c:tx>
          <c:spPr>
            <a:solidFill>
              <a:srgbClr val="FF0000"/>
            </a:solidFill>
            <a:ln>
              <a:noFill/>
            </a:ln>
            <a:effectLst/>
          </c:spPr>
          <c:invertIfNegative val="0"/>
          <c:dLbls>
            <c:numFmt formatCode="&quot;$&quot;#,##0.00" sourceLinked="0"/>
            <c:spPr>
              <a:noFill/>
              <a:ln>
                <a:noFill/>
              </a:ln>
              <a:effectLst/>
            </c:spPr>
            <c:txPr>
              <a:bodyPr rot="0" spcFirstLastPara="1" vertOverflow="ellipsis" vert="horz" wrap="square" lIns="38100" tIns="19050" rIns="38100" bIns="19050" anchor="ctr" anchorCtr="1">
                <a:spAutoFit/>
              </a:bodyPr>
              <a:lstStyle/>
              <a:p>
                <a:pPr>
                  <a:defRPr lang="es-ES" sz="600" b="0" i="0" u="none" strike="noStrike" kern="1200" baseline="0">
                    <a:solidFill>
                      <a:sysClr val="windowText" lastClr="000000"/>
                    </a:solidFill>
                    <a:latin typeface="+mn-lt"/>
                    <a:ea typeface="+mn-ea"/>
                    <a:cs typeface="+mn-cs"/>
                  </a:defRPr>
                </a:pPr>
                <a:endParaRPr lang="es-N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'Gasto por Poblacion'!$A$21:$A$33</c:f>
              <c:strCache>
                <c:ptCount val="13"/>
                <c:pt idx="0">
                  <c:v>Pacientes Uniformados con TB</c:v>
                </c:pt>
                <c:pt idx="1">
                  <c:v>Indígenas de la Costa Caribe</c:v>
                </c:pt>
                <c:pt idx="2">
                  <c:v>Personas con diabetes</c:v>
                </c:pt>
                <c:pt idx="3">
                  <c:v>Personas con VIH </c:v>
                </c:pt>
                <c:pt idx="4">
                  <c:v>Adictos al tabaco, alcohol y drogas</c:v>
                </c:pt>
                <c:pt idx="5">
                  <c:v>Niños y niñas en contacto con personas con TB  </c:v>
                </c:pt>
                <c:pt idx="6">
                  <c:v>Personas mayores de 65 años</c:v>
                </c:pt>
                <c:pt idx="7">
                  <c:v>Mujeres, niños  y niñas de aéreas marginales</c:v>
                </c:pt>
                <c:pt idx="8">
                  <c:v>Personas  en  centros  de  mayor  concentración  con  exposición  a  riesgo  de  TB (mercados, Zonas francas, trabajadores de salud)</c:v>
                </c:pt>
                <c:pt idx="9">
                  <c:v>Privados de libertad</c:v>
                </c:pt>
                <c:pt idx="10">
                  <c:v>Población General</c:v>
                </c:pt>
                <c:pt idx="11">
                  <c:v>Personas con TB </c:v>
                </c:pt>
                <c:pt idx="12">
                  <c:v>Intervenciones no dirigidas</c:v>
                </c:pt>
              </c:strCache>
            </c:strRef>
          </c:cat>
          <c:val>
            <c:numRef>
              <c:f>'Gasto por Poblacion'!$E$21:$E$33</c:f>
              <c:numCache>
                <c:formatCode>0.00</c:formatCode>
                <c:ptCount val="13"/>
                <c:pt idx="0">
                  <c:v>1.7287085244822154E-4</c:v>
                </c:pt>
                <c:pt idx="1">
                  <c:v>8.2792252679971187E-2</c:v>
                </c:pt>
                <c:pt idx="2">
                  <c:v>8.4170613525958685E-2</c:v>
                </c:pt>
                <c:pt idx="3">
                  <c:v>0.11082325747018042</c:v>
                </c:pt>
                <c:pt idx="4">
                  <c:v>0.15765771493571232</c:v>
                </c:pt>
                <c:pt idx="5">
                  <c:v>0.17761452999424698</c:v>
                </c:pt>
                <c:pt idx="6">
                  <c:v>0.19696033159841686</c:v>
                </c:pt>
                <c:pt idx="7">
                  <c:v>0.23522502743638865</c:v>
                </c:pt>
                <c:pt idx="8">
                  <c:v>0.26127439560492333</c:v>
                </c:pt>
                <c:pt idx="9">
                  <c:v>0.3463243558776013</c:v>
                </c:pt>
                <c:pt idx="10">
                  <c:v>1.4734776717001972</c:v>
                </c:pt>
                <c:pt idx="11">
                  <c:v>1.4711842876530874</c:v>
                </c:pt>
                <c:pt idx="12">
                  <c:v>0.8002660704031801</c:v>
                </c:pt>
              </c:numCache>
            </c:numRef>
          </c:val>
          <c:extLst>
            <c:ext xmlns:c16="http://schemas.microsoft.com/office/drawing/2014/chart" uri="{C3380CC4-5D6E-409C-BE32-E72D297353CC}">
              <c16:uniqueId val="{00000001-EC03-49B5-9F28-F9F7D2EC9A72}"/>
            </c:ext>
          </c:extLst>
        </c:ser>
        <c:dLbls>
          <c:showLegendKey val="0"/>
          <c:showVal val="0"/>
          <c:showCatName val="0"/>
          <c:showSerName val="0"/>
          <c:showPercent val="0"/>
          <c:showBubbleSize val="0"/>
        </c:dLbls>
        <c:gapWidth val="182"/>
        <c:axId val="362203880"/>
        <c:axId val="362202312"/>
      </c:barChart>
      <c:catAx>
        <c:axId val="3622038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ysClr val="windowText" lastClr="000000"/>
                </a:solidFill>
                <a:latin typeface="+mn-lt"/>
                <a:ea typeface="+mn-ea"/>
                <a:cs typeface="+mn-cs"/>
              </a:defRPr>
            </a:pPr>
            <a:endParaRPr lang="es-NI"/>
          </a:p>
        </c:txPr>
        <c:crossAx val="362202312"/>
        <c:crosses val="autoZero"/>
        <c:auto val="1"/>
        <c:lblAlgn val="ctr"/>
        <c:lblOffset val="100"/>
        <c:noMultiLvlLbl val="0"/>
      </c:catAx>
      <c:valAx>
        <c:axId val="362202312"/>
        <c:scaling>
          <c:orientation val="minMax"/>
        </c:scaling>
        <c:delete val="0"/>
        <c:axPos val="b"/>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s-ES" sz="900" b="0" i="0" u="none" strike="noStrike" kern="1200" baseline="0">
                <a:solidFill>
                  <a:sysClr val="windowText" lastClr="000000"/>
                </a:solidFill>
                <a:latin typeface="+mn-lt"/>
                <a:ea typeface="+mn-ea"/>
                <a:cs typeface="+mn-cs"/>
              </a:defRPr>
            </a:pPr>
            <a:endParaRPr lang="es-NI"/>
          </a:p>
        </c:txPr>
        <c:crossAx val="362203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s-ES" sz="900" b="0" i="0" u="none" strike="noStrike" kern="1200" baseline="0">
              <a:solidFill>
                <a:sysClr val="windowText" lastClr="000000"/>
              </a:solidFill>
              <a:latin typeface="+mn-lt"/>
              <a:ea typeface="+mn-ea"/>
              <a:cs typeface="+mn-cs"/>
            </a:defRPr>
          </a:pPr>
          <a:endParaRPr lang="es-N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s-NI"/>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EBBBD-D1D2-49EB-B87A-667DEC3ED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30</Pages>
  <Words>6484</Words>
  <Characters>35662</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Soza</dc:creator>
  <cp:lastModifiedBy>Arelisabel Ruíz</cp:lastModifiedBy>
  <cp:revision>7</cp:revision>
  <cp:lastPrinted>2017-09-05T21:01:00Z</cp:lastPrinted>
  <dcterms:created xsi:type="dcterms:W3CDTF">2020-07-21T19:38:00Z</dcterms:created>
  <dcterms:modified xsi:type="dcterms:W3CDTF">2020-07-21T19:53:00Z</dcterms:modified>
</cp:coreProperties>
</file>