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5E6B22" w:rsidRDefault="005E6B22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75FE258" wp14:editId="647B3BA2">
            <wp:extent cx="5263117" cy="601733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149" cy="604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34481A97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73E953EC" w14:textId="4454697F" w:rsidR="00C4004E" w:rsidRPr="00BC1B51" w:rsidRDefault="00BC1B51" w:rsidP="00C4004E">
      <w:pPr>
        <w:jc w:val="center"/>
        <w:rPr>
          <w:b/>
          <w:sz w:val="40"/>
          <w:lang w:val="es-NI"/>
        </w:rPr>
      </w:pPr>
      <w:r w:rsidRPr="00BC1B51">
        <w:rPr>
          <w:b/>
          <w:sz w:val="40"/>
          <w:lang w:val="es-NI"/>
        </w:rPr>
        <w:t xml:space="preserve">Mes de </w:t>
      </w:r>
      <w:r w:rsidR="0020313B">
        <w:rPr>
          <w:b/>
          <w:sz w:val="40"/>
          <w:lang w:val="es-NI"/>
        </w:rPr>
        <w:t>Noviembre</w:t>
      </w: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6ABA4BE" wp14:editId="3801EC8F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3237D7FA" w14:textId="77777777" w:rsidR="00740FBB" w:rsidRDefault="005E6B22" w:rsidP="00740FBB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96128" behindDoc="1" locked="0" layoutInCell="1" allowOverlap="1" wp14:anchorId="119410C1" wp14:editId="74467618">
            <wp:simplePos x="0" y="0"/>
            <wp:positionH relativeFrom="column">
              <wp:posOffset>-1905</wp:posOffset>
            </wp:positionH>
            <wp:positionV relativeFrom="paragraph">
              <wp:posOffset>276860</wp:posOffset>
            </wp:positionV>
            <wp:extent cx="6759575" cy="3613785"/>
            <wp:effectExtent l="0" t="0" r="3175" b="5715"/>
            <wp:wrapTight wrapText="bothSides">
              <wp:wrapPolygon edited="0">
                <wp:start x="0" y="0"/>
                <wp:lineTo x="0" y="21520"/>
                <wp:lineTo x="21549" y="21520"/>
                <wp:lineTo x="21549" y="0"/>
                <wp:lineTo x="0" y="0"/>
              </wp:wrapPolygon>
            </wp:wrapTight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81280" w14:textId="77777777" w:rsidR="00740FBB" w:rsidRDefault="00740FBB" w:rsidP="00740FBB">
      <w:pPr>
        <w:rPr>
          <w:rFonts w:ascii="Arial" w:hAnsi="Arial" w:cs="Arial"/>
          <w:sz w:val="24"/>
          <w:lang w:val="es-NI"/>
        </w:rPr>
      </w:pPr>
    </w:p>
    <w:p w14:paraId="4B8AE51C" w14:textId="77777777" w:rsidR="00740FBB" w:rsidRDefault="00740FBB" w:rsidP="00740FBB">
      <w:pPr>
        <w:rPr>
          <w:rFonts w:ascii="Arial" w:hAnsi="Arial" w:cs="Arial"/>
          <w:sz w:val="24"/>
          <w:lang w:val="es-NI"/>
        </w:rPr>
      </w:pPr>
    </w:p>
    <w:p w14:paraId="5D2F2258" w14:textId="46047E18" w:rsidR="00740FBB" w:rsidRPr="00740FBB" w:rsidRDefault="00740FBB" w:rsidP="00740FBB">
      <w:pPr>
        <w:spacing w:line="360" w:lineRule="auto"/>
        <w:rPr>
          <w:lang w:val="es-NI"/>
        </w:rPr>
      </w:pPr>
      <w:r>
        <w:rPr>
          <w:rFonts w:ascii="Arial" w:hAnsi="Arial" w:cs="Arial"/>
          <w:sz w:val="24"/>
          <w:lang w:val="es-NI"/>
        </w:rPr>
        <w:t xml:space="preserve">A la semana epidemiológica </w:t>
      </w:r>
      <w:proofErr w:type="spellStart"/>
      <w:r>
        <w:rPr>
          <w:rFonts w:ascii="Arial" w:hAnsi="Arial" w:cs="Arial"/>
          <w:sz w:val="24"/>
          <w:lang w:val="es-NI"/>
        </w:rPr>
        <w:t>nro</w:t>
      </w:r>
      <w:proofErr w:type="spellEnd"/>
      <w:r>
        <w:rPr>
          <w:rFonts w:ascii="Arial" w:hAnsi="Arial" w:cs="Arial"/>
          <w:sz w:val="24"/>
          <w:lang w:val="es-NI"/>
        </w:rPr>
        <w:t xml:space="preserve"> 47 del año</w:t>
      </w:r>
      <w:r w:rsidRPr="003B50D3">
        <w:rPr>
          <w:rFonts w:ascii="Arial" w:hAnsi="Arial" w:cs="Arial"/>
          <w:sz w:val="24"/>
          <w:lang w:val="es-NI"/>
        </w:rPr>
        <w:t xml:space="preserve"> 2021, segundo año de la pandemia inicia co</w:t>
      </w:r>
      <w:r>
        <w:rPr>
          <w:rFonts w:ascii="Arial" w:hAnsi="Arial" w:cs="Arial"/>
          <w:sz w:val="24"/>
          <w:lang w:val="es-NI"/>
        </w:rPr>
        <w:t xml:space="preserve">n alta </w:t>
      </w:r>
      <w:r w:rsidRPr="003B50D3">
        <w:rPr>
          <w:rFonts w:ascii="Arial" w:hAnsi="Arial" w:cs="Arial"/>
          <w:sz w:val="24"/>
          <w:lang w:val="es-NI"/>
        </w:rPr>
        <w:t xml:space="preserve">transmisión viral y control de la situación epidemiológica. </w:t>
      </w:r>
    </w:p>
    <w:p w14:paraId="74457C75" w14:textId="77777777" w:rsidR="00740FBB" w:rsidRPr="003B50D3" w:rsidRDefault="00740FBB" w:rsidP="00740FB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Al periodo de este mes no hemos tenido fallecido por COVID, manteniendo a los presentados en las SE 05,12 y 36 respectivamente, para sumar 03 en total al corte.</w:t>
      </w:r>
    </w:p>
    <w:p w14:paraId="28C48353" w14:textId="0850BBB5" w:rsidR="00740FBB" w:rsidRPr="003B50D3" w:rsidRDefault="00740FBB" w:rsidP="00740FB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>El comportamiento en las últimas</w:t>
      </w:r>
      <w:r>
        <w:rPr>
          <w:rFonts w:ascii="Arial" w:hAnsi="Arial" w:cs="Arial"/>
          <w:sz w:val="24"/>
          <w:lang w:val="es-MX"/>
        </w:rPr>
        <w:t xml:space="preserve"> 47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>
        <w:rPr>
          <w:rFonts w:ascii="Arial" w:hAnsi="Arial" w:cs="Arial"/>
          <w:sz w:val="24"/>
          <w:lang w:val="es-MX"/>
        </w:rPr>
        <w:t xml:space="preserve">hemos tenido un aumento de 18 casos con respecto al mes anterior, sin embargo, </w:t>
      </w:r>
      <w:r w:rsidRPr="003B50D3">
        <w:rPr>
          <w:rFonts w:ascii="Arial" w:hAnsi="Arial" w:cs="Arial"/>
          <w:sz w:val="24"/>
          <w:lang w:val="es-MX"/>
        </w:rPr>
        <w:t>no</w:t>
      </w:r>
      <w:r>
        <w:rPr>
          <w:rFonts w:ascii="Arial" w:hAnsi="Arial" w:cs="Arial"/>
          <w:sz w:val="24"/>
          <w:lang w:val="es-MX"/>
        </w:rPr>
        <w:t xml:space="preserve"> presentó</w:t>
      </w:r>
      <w:r w:rsidRPr="003B50D3">
        <w:rPr>
          <w:rFonts w:ascii="Arial" w:hAnsi="Arial" w:cs="Arial"/>
          <w:sz w:val="24"/>
          <w:lang w:val="es-MX"/>
        </w:rPr>
        <w:t xml:space="preserve"> la misma incidencia de casos al compararlo con la curva del año 2020.</w:t>
      </w:r>
    </w:p>
    <w:p w14:paraId="15EED382" w14:textId="77777777" w:rsidR="00740FBB" w:rsidRDefault="00740FBB" w:rsidP="00740FBB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>
        <w:rPr>
          <w:rFonts w:ascii="Arial" w:hAnsi="Arial" w:cs="Arial"/>
          <w:sz w:val="24"/>
          <w:lang w:val="es-MX"/>
        </w:rPr>
        <w:t xml:space="preserve">12.5 </w:t>
      </w:r>
      <w:r w:rsidRPr="003B50D3">
        <w:rPr>
          <w:rFonts w:ascii="Arial" w:hAnsi="Arial" w:cs="Arial"/>
          <w:sz w:val="24"/>
          <w:lang w:val="es-MX"/>
        </w:rPr>
        <w:t xml:space="preserve">%, recuperados del 99% y una letalidad del </w:t>
      </w:r>
      <w:r>
        <w:rPr>
          <w:rFonts w:ascii="Arial" w:hAnsi="Arial" w:cs="Arial"/>
          <w:sz w:val="24"/>
          <w:lang w:val="es-MX"/>
        </w:rPr>
        <w:t>0.78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14:paraId="657C1E78" w14:textId="77777777" w:rsidR="00F33283" w:rsidRDefault="00F33283" w:rsidP="00740FBB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</w:p>
    <w:p w14:paraId="65A9C865" w14:textId="359A867E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193B982F" w:rsidR="00B52D41" w:rsidRDefault="005E6B2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1E49F92D" wp14:editId="226433C2">
            <wp:extent cx="6629400" cy="3080657"/>
            <wp:effectExtent l="0" t="0" r="0" b="571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FBCFD8" w14:textId="19A6F1A6" w:rsidR="00592509" w:rsidRDefault="00592509" w:rsidP="00592509">
      <w:pPr>
        <w:jc w:val="center"/>
        <w:rPr>
          <w:rFonts w:ascii="Arial" w:hAnsi="Arial" w:cs="Arial"/>
          <w:sz w:val="24"/>
          <w:lang w:val="es-NI"/>
        </w:rPr>
      </w:pP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665E63A2" w14:textId="5B943E89" w:rsidR="00740FBB" w:rsidRDefault="00740FBB" w:rsidP="00740FB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mayor porcentaje de casos se presentó en los municipios de Jinotega, Pantasma, Wiwili, Bocay, San Rafael y </w:t>
      </w:r>
      <w:proofErr w:type="spellStart"/>
      <w:r>
        <w:rPr>
          <w:rFonts w:ascii="Arial" w:hAnsi="Arial" w:cs="Arial"/>
          <w:sz w:val="24"/>
          <w:lang w:val="es-NI"/>
        </w:rPr>
        <w:t>Yali</w:t>
      </w:r>
      <w:proofErr w:type="spellEnd"/>
      <w:r>
        <w:rPr>
          <w:rFonts w:ascii="Arial" w:hAnsi="Arial" w:cs="Arial"/>
          <w:sz w:val="24"/>
          <w:lang w:val="es-NI"/>
        </w:rPr>
        <w:t>.</w:t>
      </w:r>
    </w:p>
    <w:p w14:paraId="4E211C30" w14:textId="77777777" w:rsidR="00740FBB" w:rsidRDefault="00740FBB" w:rsidP="00740FBB">
      <w:pPr>
        <w:tabs>
          <w:tab w:val="left" w:pos="2590"/>
        </w:tabs>
        <w:rPr>
          <w:noProof/>
          <w:lang w:val="es-NI"/>
        </w:rPr>
      </w:pPr>
    </w:p>
    <w:p w14:paraId="67432B36" w14:textId="77777777" w:rsidR="00740FBB" w:rsidRDefault="00740FBB" w:rsidP="00740FBB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16DDA54A" w14:textId="77777777" w:rsidR="00740FBB" w:rsidRDefault="00740FBB" w:rsidP="00740FBB">
      <w:pPr>
        <w:jc w:val="both"/>
        <w:rPr>
          <w:rFonts w:ascii="Arial" w:hAnsi="Arial" w:cs="Arial"/>
          <w:sz w:val="24"/>
          <w:lang w:val="es-NI"/>
        </w:rPr>
      </w:pPr>
    </w:p>
    <w:p w14:paraId="501AC639" w14:textId="77777777" w:rsidR="00740FBB" w:rsidRDefault="00740FBB" w:rsidP="00740FB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En la distribución absoluta de los casos los grupos de edades más afectados </w:t>
      </w:r>
      <w:r>
        <w:rPr>
          <w:rFonts w:ascii="Arial" w:hAnsi="Arial" w:cs="Arial"/>
          <w:sz w:val="24"/>
          <w:lang w:val="es-NI"/>
        </w:rPr>
        <w:t xml:space="preserve">mayores de 20 años de edad, población económicamente activa, sin embargo, se nos presentaron casos en menos de edad. </w:t>
      </w:r>
    </w:p>
    <w:p w14:paraId="2E335758" w14:textId="77777777" w:rsidR="00740FBB" w:rsidRPr="00167561" w:rsidRDefault="00740FBB" w:rsidP="00740FBB">
      <w:pPr>
        <w:spacing w:line="360" w:lineRule="auto"/>
        <w:jc w:val="both"/>
        <w:rPr>
          <w:rFonts w:ascii="Arial" w:hAnsi="Arial" w:cs="Arial"/>
          <w:b/>
          <w:sz w:val="16"/>
          <w:lang w:val="es-NI"/>
        </w:rPr>
      </w:pPr>
    </w:p>
    <w:p w14:paraId="02AA8E42" w14:textId="77777777" w:rsidR="00740FBB" w:rsidRDefault="00740FBB" w:rsidP="00740FB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167561">
        <w:rPr>
          <w:rFonts w:ascii="Arial" w:hAnsi="Arial" w:cs="Arial"/>
          <w:sz w:val="24"/>
          <w:lang w:val="es-NI"/>
        </w:rPr>
        <w:t>COVID-19 Casos por Grupos de Edad</w:t>
      </w:r>
    </w:p>
    <w:p w14:paraId="642031CC" w14:textId="77777777" w:rsidR="00740FBB" w:rsidRPr="00167561" w:rsidRDefault="00740FBB" w:rsidP="00740FB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42234550" w14:textId="77777777" w:rsidR="00740FBB" w:rsidRPr="00295E0B" w:rsidRDefault="00740FBB" w:rsidP="00740FBB">
      <w:pPr>
        <w:tabs>
          <w:tab w:val="left" w:pos="2590"/>
        </w:tabs>
        <w:spacing w:line="360" w:lineRule="auto"/>
        <w:jc w:val="both"/>
        <w:rPr>
          <w:noProof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Arial" w:hAnsi="Arial" w:cs="Arial"/>
          <w:sz w:val="24"/>
          <w:lang w:val="es-NI"/>
        </w:rPr>
        <w:t>2</w:t>
      </w:r>
      <w:r w:rsidRPr="0097075D">
        <w:rPr>
          <w:rFonts w:ascii="Arial" w:hAnsi="Arial" w:cs="Arial"/>
          <w:sz w:val="24"/>
          <w:lang w:val="es-NI"/>
        </w:rPr>
        <w:t>0 años</w:t>
      </w:r>
      <w:r>
        <w:rPr>
          <w:rFonts w:ascii="Arial" w:hAnsi="Arial" w:cs="Arial"/>
          <w:sz w:val="24"/>
          <w:lang w:val="es-NI"/>
        </w:rPr>
        <w:t>,</w:t>
      </w:r>
      <w:r w:rsidRPr="0097075D">
        <w:rPr>
          <w:rFonts w:ascii="Arial" w:hAnsi="Arial" w:cs="Arial"/>
          <w:sz w:val="24"/>
          <w:lang w:val="es-NI"/>
        </w:rPr>
        <w:t xml:space="preserve">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</w:p>
    <w:p w14:paraId="65949073" w14:textId="77777777" w:rsidR="00F610A7" w:rsidRPr="00295E0B" w:rsidRDefault="00F610A7" w:rsidP="00F610A7">
      <w:pPr>
        <w:tabs>
          <w:tab w:val="left" w:pos="2590"/>
        </w:tabs>
        <w:rPr>
          <w:noProof/>
          <w:lang w:val="es-NI"/>
        </w:rPr>
      </w:pPr>
    </w:p>
    <w:p w14:paraId="0F7667CB" w14:textId="76E47B28" w:rsidR="00F610A7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3655A15F" w14:textId="13E5A29A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6B9B99C7" w14:textId="4B674B19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54B8D5D2" w14:textId="51EFCE07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7BFBC3B" w14:textId="11A50D89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0404FC0B" w14:textId="4E45D91C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68A6D9F7" w14:textId="1B384075" w:rsidR="00586538" w:rsidRPr="00295E0B" w:rsidRDefault="00A70999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97152" behindDoc="1" locked="0" layoutInCell="1" allowOverlap="1" wp14:anchorId="11EBB6F4" wp14:editId="51FACBB1">
            <wp:simplePos x="927100" y="971550"/>
            <wp:positionH relativeFrom="margin">
              <wp:align>center</wp:align>
            </wp:positionH>
            <wp:positionV relativeFrom="margin">
              <wp:align>top</wp:align>
            </wp:positionV>
            <wp:extent cx="5398770" cy="3798570"/>
            <wp:effectExtent l="0" t="0" r="11430" b="11430"/>
            <wp:wrapSquare wrapText="bothSides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86C1A" w14:textId="1CE513E0" w:rsidR="001531A1" w:rsidRDefault="001531A1" w:rsidP="00F610A7">
      <w:pPr>
        <w:rPr>
          <w:lang w:val="es-NI"/>
        </w:rPr>
      </w:pPr>
    </w:p>
    <w:p w14:paraId="0385423E" w14:textId="0168D237" w:rsidR="002250BC" w:rsidRDefault="002250BC" w:rsidP="00F610A7">
      <w:pPr>
        <w:rPr>
          <w:lang w:val="es-NI"/>
        </w:rPr>
      </w:pPr>
    </w:p>
    <w:p w14:paraId="1B0193B0" w14:textId="29DDC4C0" w:rsidR="002250BC" w:rsidRDefault="002250BC" w:rsidP="00F610A7">
      <w:pPr>
        <w:rPr>
          <w:lang w:val="es-NI"/>
        </w:rPr>
      </w:pPr>
    </w:p>
    <w:p w14:paraId="54115612" w14:textId="06C42502" w:rsidR="002250BC" w:rsidRDefault="002250BC" w:rsidP="00F610A7">
      <w:pPr>
        <w:rPr>
          <w:lang w:val="es-NI"/>
        </w:rPr>
      </w:pPr>
    </w:p>
    <w:p w14:paraId="36CBFB1A" w14:textId="1918D0F1" w:rsidR="002250BC" w:rsidRDefault="002250BC" w:rsidP="00F610A7">
      <w:pPr>
        <w:rPr>
          <w:lang w:val="es-NI"/>
        </w:rPr>
      </w:pPr>
    </w:p>
    <w:p w14:paraId="4D075A55" w14:textId="5D539A81" w:rsidR="002250BC" w:rsidRDefault="002250BC" w:rsidP="00F610A7">
      <w:pPr>
        <w:rPr>
          <w:lang w:val="es-NI"/>
        </w:rPr>
      </w:pPr>
    </w:p>
    <w:p w14:paraId="540A4654" w14:textId="5A68C125" w:rsidR="001531A1" w:rsidRDefault="001531A1" w:rsidP="00F610A7">
      <w:pPr>
        <w:rPr>
          <w:lang w:val="es-NI"/>
        </w:rPr>
      </w:pPr>
    </w:p>
    <w:p w14:paraId="089F993D" w14:textId="5DA24F27" w:rsidR="001531A1" w:rsidRDefault="001531A1" w:rsidP="00F610A7">
      <w:pPr>
        <w:rPr>
          <w:lang w:val="es-NI"/>
        </w:rPr>
      </w:pPr>
    </w:p>
    <w:p w14:paraId="7136CFE4" w14:textId="017E013A" w:rsidR="001531A1" w:rsidRDefault="001531A1" w:rsidP="00F610A7">
      <w:pPr>
        <w:rPr>
          <w:noProof/>
          <w:lang w:val="es-NI" w:eastAsia="es-NI"/>
        </w:rPr>
      </w:pPr>
    </w:p>
    <w:p w14:paraId="40A42BD4" w14:textId="27EDDB95" w:rsidR="00C90460" w:rsidRDefault="00C90460" w:rsidP="00F610A7">
      <w:pPr>
        <w:rPr>
          <w:noProof/>
          <w:lang w:val="es-NI" w:eastAsia="es-NI"/>
        </w:rPr>
      </w:pPr>
    </w:p>
    <w:p w14:paraId="388142A6" w14:textId="07DE5263" w:rsidR="00C90460" w:rsidRDefault="00C90460" w:rsidP="00F610A7">
      <w:pPr>
        <w:rPr>
          <w:noProof/>
          <w:lang w:val="es-NI" w:eastAsia="es-NI"/>
        </w:rPr>
      </w:pPr>
    </w:p>
    <w:p w14:paraId="17E7E027" w14:textId="761DC2B9" w:rsidR="00C90460" w:rsidRDefault="00C90460" w:rsidP="00F610A7">
      <w:pPr>
        <w:rPr>
          <w:noProof/>
          <w:lang w:val="es-NI" w:eastAsia="es-NI"/>
        </w:rPr>
      </w:pPr>
    </w:p>
    <w:p w14:paraId="4B5F77A9" w14:textId="5C5154FF" w:rsidR="00C90460" w:rsidRDefault="00C90460" w:rsidP="00F610A7">
      <w:pPr>
        <w:rPr>
          <w:noProof/>
          <w:lang w:val="es-NI" w:eastAsia="es-NI"/>
        </w:rPr>
      </w:pPr>
    </w:p>
    <w:p w14:paraId="12832DB7" w14:textId="3ED405E1" w:rsidR="00C90460" w:rsidRDefault="00C90460" w:rsidP="00F610A7">
      <w:pPr>
        <w:rPr>
          <w:noProof/>
          <w:lang w:val="es-NI" w:eastAsia="es-NI"/>
        </w:rPr>
      </w:pPr>
    </w:p>
    <w:p w14:paraId="51ED3678" w14:textId="24A60E5B" w:rsidR="00EC071C" w:rsidRPr="008735C1" w:rsidRDefault="00A70999" w:rsidP="008735C1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700224" behindDoc="0" locked="0" layoutInCell="1" allowOverlap="1" wp14:anchorId="11818078" wp14:editId="4D9F0B03">
            <wp:simplePos x="717550" y="5137150"/>
            <wp:positionH relativeFrom="margin">
              <wp:align>center</wp:align>
            </wp:positionH>
            <wp:positionV relativeFrom="margin">
              <wp:align>bottom</wp:align>
            </wp:positionV>
            <wp:extent cx="5605599" cy="3897085"/>
            <wp:effectExtent l="0" t="0" r="14605" b="8255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45574EA7" w14:textId="2E2B3F4B" w:rsidR="00EC071C" w:rsidRDefault="00EC071C" w:rsidP="00F610A7">
      <w:pPr>
        <w:jc w:val="both"/>
        <w:rPr>
          <w:rFonts w:ascii="Arial" w:hAnsi="Arial" w:cs="Arial"/>
          <w:sz w:val="24"/>
          <w:lang w:val="es-NI"/>
        </w:rPr>
      </w:pPr>
    </w:p>
    <w:p w14:paraId="617ABEA9" w14:textId="77777777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78BDCA34" w14:textId="65F1CDCA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75D83C63" w14:textId="06013E40" w:rsidR="00F610A7" w:rsidRDefault="00F610A7" w:rsidP="00740FB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p w14:paraId="0391A492" w14:textId="0870AD82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0563193C" w14:textId="3F41FA5E" w:rsidR="00F610A7" w:rsidRDefault="00F610A7" w:rsidP="00F610A7">
      <w:pPr>
        <w:jc w:val="center"/>
        <w:rPr>
          <w:lang w:val="es-NI"/>
        </w:rPr>
      </w:pPr>
    </w:p>
    <w:p w14:paraId="45CBBC02" w14:textId="2DF4C6FE" w:rsidR="00F610A7" w:rsidRDefault="00A70999" w:rsidP="00F610A7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98176" behindDoc="1" locked="0" layoutInCell="1" allowOverlap="1" wp14:anchorId="208ECFBD" wp14:editId="47CFEF7E">
            <wp:simplePos x="0" y="0"/>
            <wp:positionH relativeFrom="column">
              <wp:posOffset>-1905</wp:posOffset>
            </wp:positionH>
            <wp:positionV relativeFrom="paragraph">
              <wp:posOffset>279400</wp:posOffset>
            </wp:positionV>
            <wp:extent cx="5671185" cy="3810000"/>
            <wp:effectExtent l="0" t="0" r="5715" b="0"/>
            <wp:wrapTight wrapText="bothSides">
              <wp:wrapPolygon edited="0">
                <wp:start x="0" y="0"/>
                <wp:lineTo x="0" y="21492"/>
                <wp:lineTo x="21549" y="21492"/>
                <wp:lineTo x="21549" y="0"/>
                <wp:lineTo x="0" y="0"/>
              </wp:wrapPolygon>
            </wp:wrapTight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D117C" w14:textId="002BDE1E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6A751A" w14:textId="3951977E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FB1945B" w14:textId="14CB595C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7FF0AB8" w14:textId="4A142E49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5280B93" w14:textId="6B71CA89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810412A" w14:textId="16216A5A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F5987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2C89CCEE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34947BF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5DFAFF6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7EC5A91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731BC3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BD833F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D1BB79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48C14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1029DA2" w14:textId="77777777" w:rsidR="000E494C" w:rsidRDefault="000E494C" w:rsidP="00F610A7">
      <w:pPr>
        <w:jc w:val="both"/>
        <w:rPr>
          <w:rFonts w:ascii="Arial" w:hAnsi="Arial" w:cs="Arial"/>
          <w:sz w:val="24"/>
          <w:lang w:val="es-NI"/>
        </w:rPr>
      </w:pPr>
    </w:p>
    <w:p w14:paraId="155071CD" w14:textId="7245AAD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156A616" w14:textId="77777777" w:rsidR="008735C1" w:rsidRDefault="008735C1" w:rsidP="00F610A7">
      <w:pPr>
        <w:jc w:val="both"/>
        <w:rPr>
          <w:rFonts w:ascii="Arial" w:hAnsi="Arial" w:cs="Arial"/>
          <w:sz w:val="24"/>
          <w:lang w:val="es-NI"/>
        </w:rPr>
      </w:pPr>
    </w:p>
    <w:p w14:paraId="61B1CB7E" w14:textId="77777777" w:rsidR="008735C1" w:rsidRDefault="008735C1" w:rsidP="00F610A7">
      <w:pPr>
        <w:jc w:val="both"/>
        <w:rPr>
          <w:rFonts w:ascii="Arial" w:hAnsi="Arial" w:cs="Arial"/>
          <w:sz w:val="24"/>
          <w:lang w:val="es-NI"/>
        </w:rPr>
      </w:pPr>
    </w:p>
    <w:p w14:paraId="1C3758EB" w14:textId="77777777" w:rsidR="008735C1" w:rsidRDefault="008735C1" w:rsidP="00F610A7">
      <w:pPr>
        <w:jc w:val="both"/>
        <w:rPr>
          <w:rFonts w:ascii="Arial" w:hAnsi="Arial" w:cs="Arial"/>
          <w:sz w:val="24"/>
          <w:lang w:val="es-NI"/>
        </w:rPr>
      </w:pPr>
    </w:p>
    <w:p w14:paraId="05BE4A85" w14:textId="77777777" w:rsidR="00A70999" w:rsidRDefault="00A70999" w:rsidP="00F610A7">
      <w:pPr>
        <w:jc w:val="both"/>
        <w:rPr>
          <w:rFonts w:ascii="Arial" w:hAnsi="Arial" w:cs="Arial"/>
          <w:sz w:val="24"/>
          <w:lang w:val="es-NI"/>
        </w:rPr>
      </w:pPr>
    </w:p>
    <w:p w14:paraId="03745873" w14:textId="52F7F959" w:rsidR="00720CB1" w:rsidRDefault="00740FBB" w:rsidP="00F610A7">
      <w:pPr>
        <w:jc w:val="both"/>
        <w:rPr>
          <w:rFonts w:ascii="Arial" w:hAnsi="Arial" w:cs="Arial"/>
          <w:sz w:val="24"/>
          <w:lang w:val="es-NI"/>
        </w:rPr>
        <w:sectPr w:rsidR="00720CB1" w:rsidSect="009D5347">
          <w:pgSz w:w="12240" w:h="15840"/>
          <w:pgMar w:top="1134" w:right="1134" w:bottom="1134" w:left="1134" w:header="709" w:footer="709" w:gutter="0"/>
          <w:cols w:space="708"/>
          <w:docGrid w:linePitch="490"/>
        </w:sectPr>
      </w:pPr>
      <w:r>
        <w:rPr>
          <w:rFonts w:ascii="Arial" w:hAnsi="Arial" w:cs="Arial"/>
          <w:sz w:val="24"/>
          <w:lang w:val="es-NI"/>
        </w:rPr>
        <w:t>El sexo femenino sigue siendo el más afectado con un 65.41%</w:t>
      </w:r>
    </w:p>
    <w:p w14:paraId="40E78498" w14:textId="5EEB6ECA" w:rsidR="00A70999" w:rsidRDefault="00A70999" w:rsidP="000D6128">
      <w:pPr>
        <w:jc w:val="both"/>
        <w:rPr>
          <w:rFonts w:ascii="Arial" w:hAnsi="Arial" w:cs="Arial"/>
          <w:b/>
          <w:sz w:val="28"/>
          <w:lang w:val="es-NI"/>
        </w:rPr>
      </w:pPr>
    </w:p>
    <w:p w14:paraId="6B781DA0" w14:textId="0CD688A0" w:rsidR="00F610A7" w:rsidRDefault="00F610A7" w:rsidP="000D6128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1D440797" w14:textId="55E3FECD" w:rsidR="00A70999" w:rsidRDefault="00A70999" w:rsidP="000D6128">
      <w:pPr>
        <w:jc w:val="both"/>
        <w:rPr>
          <w:rFonts w:ascii="Arial" w:hAnsi="Arial" w:cs="Arial"/>
          <w:b/>
          <w:sz w:val="28"/>
          <w:lang w:val="es-NI"/>
        </w:rPr>
      </w:pPr>
    </w:p>
    <w:tbl>
      <w:tblPr>
        <w:tblW w:w="133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181"/>
        <w:gridCol w:w="282"/>
        <w:gridCol w:w="282"/>
        <w:gridCol w:w="181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41"/>
        <w:gridCol w:w="281"/>
        <w:gridCol w:w="281"/>
        <w:gridCol w:w="281"/>
      </w:tblGrid>
      <w:tr w:rsidR="00740FBB" w:rsidRPr="00740FBB" w14:paraId="7724D5EC" w14:textId="77777777" w:rsidTr="00740FBB">
        <w:trPr>
          <w:trHeight w:val="367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14:paraId="3BC20D39" w14:textId="07BDBA18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Municipios</w:t>
            </w:r>
          </w:p>
        </w:tc>
        <w:tc>
          <w:tcPr>
            <w:tcW w:w="1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E82268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20D460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243BEA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3</w:t>
            </w:r>
          </w:p>
        </w:tc>
        <w:tc>
          <w:tcPr>
            <w:tcW w:w="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BF6C7A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4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56CD4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E0DF4A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6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870B9E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7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7980AE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8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EE7777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9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0DFF75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10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21757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A519E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12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1E0409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13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31A89C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14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C2404C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15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CD8720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16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9B5CA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17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13EFC1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18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858D9E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19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3ABBEC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20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EC260A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21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204009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22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E97E46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23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422B9D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24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340F05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25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D51BF2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26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2025A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27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5208C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28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627BD9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29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A0468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30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8BDC17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31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2B4D79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32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EBE928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33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007BEA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34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42ABBD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35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6748AB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36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FFA21A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37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9EA3D6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38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A42F05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39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50BE5F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40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48322A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41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5D64C2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42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93406A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43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BF0EF8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44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5217E8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45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100109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46</w:t>
            </w: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A89E50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47</w:t>
            </w:r>
          </w:p>
        </w:tc>
      </w:tr>
      <w:tr w:rsidR="00740FBB" w:rsidRPr="00740FBB" w14:paraId="249D0FE9" w14:textId="77777777" w:rsidTr="00740FBB">
        <w:trPr>
          <w:trHeight w:val="349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B36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JINOTEGA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22D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D40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0.07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A0F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0.07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821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70E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A29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0.07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5B2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F11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EE9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0.07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19C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E77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0.07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9EB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AE3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743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BA9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5E2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6DE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4D8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EB4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649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0.07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13B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BD3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0.27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35E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DFD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7ED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0.53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BC9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0.67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25E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2E5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0.73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6DE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673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DEE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0.27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450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0.87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A96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1.07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E2E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1.07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8AA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7D6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1.27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EC9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E11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700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897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959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B49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0.27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226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895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596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578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0.07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95B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0.07</w:t>
            </w:r>
          </w:p>
        </w:tc>
      </w:tr>
      <w:tr w:rsidR="00740FBB" w:rsidRPr="00740FBB" w14:paraId="0BC34701" w14:textId="77777777" w:rsidTr="00740FBB">
        <w:trPr>
          <w:trHeight w:val="349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237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PANTASMA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E43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386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8B0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9F2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6EB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2A5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069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0D5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B26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F34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22B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A1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10B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217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AC6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507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167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906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288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536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7AA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CDA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64F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6E1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173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7A2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674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556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0.53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24B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675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3D2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F4B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C72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405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0.88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0D0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24C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DE2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301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06D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E4E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75B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0.88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DAB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0.53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E4F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B7F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54B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EB3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64D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0.18</w:t>
            </w:r>
          </w:p>
        </w:tc>
      </w:tr>
      <w:tr w:rsidR="00740FBB" w:rsidRPr="00740FBB" w14:paraId="3DDBF6A4" w14:textId="77777777" w:rsidTr="00740FBB">
        <w:trPr>
          <w:trHeight w:val="349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9BF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WIWILI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6D0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E59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73E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1DA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9D1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3F0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571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EB7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398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F54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301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AC5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F10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8EF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18A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B69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572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877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EC4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25A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762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5AA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CA7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964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8B4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AF9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C07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C2C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A6C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2AE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E1B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EDF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1D6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33D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0.67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974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EA5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CEE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1.17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DF0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5C4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79C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44B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6CD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E1A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AFA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B06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50F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7B8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0.17</w:t>
            </w:r>
          </w:p>
        </w:tc>
      </w:tr>
      <w:tr w:rsidR="00740FBB" w:rsidRPr="00740FBB" w14:paraId="6E23587E" w14:textId="77777777" w:rsidTr="00740FBB">
        <w:trPr>
          <w:trHeight w:val="349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B55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CUA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9FB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3D2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60E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573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39F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649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CC1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72A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CC0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093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CFA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29B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0D9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479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E92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8F0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D8A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BDA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D64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6D5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77D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9AF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312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7D5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DE2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418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BD3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093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86D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93A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7EE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0.97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24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0.49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1E6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619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BBB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789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8FD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0.81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2A2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6F8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0.49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A70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4DC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A92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0.16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EDF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405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4B3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F96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2F5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</w:tr>
      <w:tr w:rsidR="00740FBB" w:rsidRPr="00740FBB" w14:paraId="34C30EDE" w14:textId="77777777" w:rsidTr="00740FBB">
        <w:trPr>
          <w:trHeight w:val="349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D5B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BOCAY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450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702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C5B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862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228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45A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ACE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F67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A67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0E4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D5B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A75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803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7BC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5B8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122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4B9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CF7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2DB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21D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171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576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A49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37A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0.71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C78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E6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6F2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6EF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326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BC4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F88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8C9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66A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DAC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9ED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9D4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89F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1.43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66E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73A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1.43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C60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3C3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0.71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920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1.07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F44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2A8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262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C80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BBE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</w:tr>
      <w:tr w:rsidR="00740FBB" w:rsidRPr="00740FBB" w14:paraId="7ACFAD34" w14:textId="77777777" w:rsidTr="00740FBB">
        <w:trPr>
          <w:trHeight w:val="349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29D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AYAPAL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437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4F8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6D3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FD5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3C0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228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239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C7E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81F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EE0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E5C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99F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BDE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20E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43E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52F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0FC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C9D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466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5B8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20A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A63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659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817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AF7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DCF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12E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B30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291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6D1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8F4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9B4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5EF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0.61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F1D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422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21E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E8C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BFF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C1F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0D4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FE4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17C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09C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108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BAB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E65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416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0.31</w:t>
            </w:r>
          </w:p>
        </w:tc>
      </w:tr>
      <w:tr w:rsidR="00740FBB" w:rsidRPr="00740FBB" w14:paraId="5FC20B11" w14:textId="77777777" w:rsidTr="00740FBB">
        <w:trPr>
          <w:trHeight w:val="349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9FF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SRN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F3E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42E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5FE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D00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861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DE0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527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613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625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0.42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5CC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087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DD0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0.42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266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C9E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DC5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A50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0.42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234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794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060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5DE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0.42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CC9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F2D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0.42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772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0.42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A9C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11A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100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9B6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0.85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DD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0.42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312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929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A5B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1.69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194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907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2.54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EC7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8D8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2.12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81A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C95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1.69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FB5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484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7A5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0.42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944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1.69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1E4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0.85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F2A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0.85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528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9DF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0.42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4BF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0.42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2B8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</w:tr>
      <w:tr w:rsidR="00740FBB" w:rsidRPr="00740FBB" w14:paraId="2CC52BFF" w14:textId="77777777" w:rsidTr="00740FBB">
        <w:trPr>
          <w:trHeight w:val="349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7A4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YALI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776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49F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4E4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4FC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BA2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C9C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855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C8C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24E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0.26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7F8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1E7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108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A9F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296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FE4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04B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0.26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B90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CFA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593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7BB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662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0.26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F39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3F3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62D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A23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AB7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D69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0.77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51C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A4E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1.03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A79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ED2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D71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A89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1.29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03D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334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4BB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71C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0.77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546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130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1.29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102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4D3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F9A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0.77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E1E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FB8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DC8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5F5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0.26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46A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0.26</w:t>
            </w:r>
          </w:p>
        </w:tc>
      </w:tr>
      <w:tr w:rsidR="00740FBB" w:rsidRPr="00740FBB" w14:paraId="7AFA8D44" w14:textId="77777777" w:rsidTr="00740FBB">
        <w:trPr>
          <w:trHeight w:val="349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A49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CONCORDIA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DFB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6B8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8B9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AAD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FB7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BE8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00A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0F0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BC9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C20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345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536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C08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FB2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6B9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860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86C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1.35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42E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9B1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A9C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1.35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6BD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F45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9FC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01F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199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FD9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4.04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53C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56F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875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07B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6.73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CB4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590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4.04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538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86A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5.39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B79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8.08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D5C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281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BAB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4.04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D9B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0AE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66C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F43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1.35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37C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CD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3B6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F16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CAF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</w:tr>
      <w:tr w:rsidR="00740FBB" w:rsidRPr="00740FBB" w14:paraId="3FECAFDD" w14:textId="77777777" w:rsidTr="00740FBB">
        <w:trPr>
          <w:trHeight w:val="349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6F9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ALTO WANKI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313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4BA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A64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C73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653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05E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CEB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A4E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7BB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61F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FAD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155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E2D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01F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32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48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127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3ED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B55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E3F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0D6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97A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2DC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D6A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8B3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3A5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A79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748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247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712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889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E58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AD5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481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1BE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4C4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4EC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EB9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910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36D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E1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2C3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46F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BED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A49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DDD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68B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sz w:val="12"/>
                <w:szCs w:val="14"/>
                <w:lang w:val="es-NI" w:eastAsia="es-NI"/>
              </w:rPr>
              <w:t>0</w:t>
            </w:r>
          </w:p>
        </w:tc>
      </w:tr>
      <w:tr w:rsidR="00740FBB" w:rsidRPr="00740FBB" w14:paraId="3A14A9B9" w14:textId="77777777" w:rsidTr="00740FBB">
        <w:trPr>
          <w:trHeight w:val="367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AB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SILAIS JINOTEGA</w:t>
            </w: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16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726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DD24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0.1</w:t>
            </w: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945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E9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6D3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7CD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79F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7FC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AB9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9A5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386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572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528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CDD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195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7BB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1.5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1C8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78D3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092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1.8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D01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FC8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4A3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056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24E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554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5.4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B83F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3.5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23D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2.7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294D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5747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7.9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034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3.9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9561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5.7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9B3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5.5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FCFA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4C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3EA5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2.8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240B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6.2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AD9C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6.1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1DEE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4.3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E849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2.3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148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5.2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8158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E1F0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1.4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D4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B582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0.9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187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1.1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57B6" w14:textId="77777777" w:rsidR="00A70999" w:rsidRPr="00740FBB" w:rsidRDefault="00A70999" w:rsidP="00740FB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</w:pPr>
            <w:r w:rsidRPr="00740FBB">
              <w:rPr>
                <w:rFonts w:ascii="Arial" w:eastAsia="Times New Roman" w:hAnsi="Arial" w:cs="Arial"/>
                <w:bCs/>
                <w:sz w:val="12"/>
                <w:szCs w:val="14"/>
                <w:lang w:val="es-NI" w:eastAsia="es-NI"/>
              </w:rPr>
              <w:t>1</w:t>
            </w:r>
          </w:p>
        </w:tc>
      </w:tr>
    </w:tbl>
    <w:p w14:paraId="26B2DB3C" w14:textId="369161B1" w:rsidR="00A70999" w:rsidRPr="00A70999" w:rsidRDefault="00A70999" w:rsidP="000D6128">
      <w:pPr>
        <w:jc w:val="both"/>
        <w:rPr>
          <w:rFonts w:ascii="Arial" w:hAnsi="Arial" w:cs="Arial"/>
          <w:sz w:val="14"/>
          <w:szCs w:val="14"/>
          <w:lang w:val="es-NI"/>
        </w:rPr>
      </w:pPr>
    </w:p>
    <w:p w14:paraId="025D956D" w14:textId="77777777" w:rsidR="00A70999" w:rsidRPr="00A70999" w:rsidRDefault="00A70999" w:rsidP="000D6128">
      <w:pPr>
        <w:jc w:val="both"/>
        <w:rPr>
          <w:rFonts w:ascii="Arial" w:hAnsi="Arial" w:cs="Arial"/>
          <w:b/>
          <w:sz w:val="14"/>
          <w:szCs w:val="14"/>
          <w:lang w:val="es-NI"/>
        </w:rPr>
      </w:pPr>
    </w:p>
    <w:p w14:paraId="237380AF" w14:textId="2FFCB02E" w:rsidR="00F610A7" w:rsidRPr="00E81838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B3EBE" w14:textId="77777777" w:rsidR="00C24289" w:rsidRPr="00F610A7" w:rsidRDefault="00C24289" w:rsidP="00C24289">
      <w:pPr>
        <w:rPr>
          <w:sz w:val="22"/>
          <w:lang w:val="es-NI"/>
        </w:rPr>
      </w:pPr>
    </w:p>
    <w:p w14:paraId="211C8C39" w14:textId="358285F5" w:rsidR="00F610A7" w:rsidRDefault="00C24289" w:rsidP="00C24289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>
        <w:rPr>
          <w:rFonts w:ascii="Arial" w:hAnsi="Arial" w:cs="Arial"/>
          <w:sz w:val="24"/>
          <w:lang w:val="es-NI"/>
        </w:rPr>
        <w:t xml:space="preserve">presente mes de </w:t>
      </w:r>
      <w:r>
        <w:rPr>
          <w:rFonts w:ascii="Arial" w:hAnsi="Arial" w:cs="Arial"/>
          <w:sz w:val="24"/>
          <w:lang w:val="es-NI"/>
        </w:rPr>
        <w:t xml:space="preserve">noviembre </w:t>
      </w:r>
      <w:r>
        <w:rPr>
          <w:rFonts w:ascii="Arial" w:hAnsi="Arial" w:cs="Arial"/>
          <w:sz w:val="24"/>
          <w:lang w:val="es-NI"/>
        </w:rPr>
        <w:t>SE 4</w:t>
      </w:r>
      <w:r>
        <w:rPr>
          <w:rFonts w:ascii="Arial" w:hAnsi="Arial" w:cs="Arial"/>
          <w:sz w:val="24"/>
          <w:lang w:val="es-NI"/>
        </w:rPr>
        <w:t>7</w:t>
      </w:r>
      <w:r>
        <w:rPr>
          <w:rFonts w:ascii="Arial" w:hAnsi="Arial" w:cs="Arial"/>
          <w:sz w:val="24"/>
          <w:lang w:val="es-NI"/>
        </w:rPr>
        <w:t xml:space="preserve"> </w:t>
      </w:r>
      <w:r w:rsidRPr="009C3318">
        <w:rPr>
          <w:rFonts w:ascii="Arial" w:hAnsi="Arial" w:cs="Arial"/>
          <w:sz w:val="24"/>
          <w:lang w:val="es-NI"/>
        </w:rPr>
        <w:t>del año 2021</w:t>
      </w:r>
      <w:r w:rsidR="00F610A7">
        <w:rPr>
          <w:rFonts w:ascii="Arial" w:hAnsi="Arial" w:cs="Arial"/>
          <w:sz w:val="24"/>
          <w:lang w:val="es-NI"/>
        </w:rPr>
        <w:t>,</w:t>
      </w:r>
      <w:r w:rsidR="00F610A7" w:rsidRPr="009C3318">
        <w:rPr>
          <w:rFonts w:ascii="Arial" w:hAnsi="Arial" w:cs="Arial"/>
          <w:sz w:val="24"/>
          <w:lang w:val="es-NI"/>
        </w:rPr>
        <w:t xml:space="preserve"> </w:t>
      </w:r>
      <w:r w:rsidR="00F610A7">
        <w:rPr>
          <w:rFonts w:ascii="Arial" w:hAnsi="Arial" w:cs="Arial"/>
          <w:sz w:val="24"/>
          <w:lang w:val="es-NI"/>
        </w:rPr>
        <w:t xml:space="preserve">según las tasas de incidencia, </w:t>
      </w:r>
      <w:r w:rsidR="00F610A7" w:rsidRPr="009C3318">
        <w:rPr>
          <w:rFonts w:ascii="Arial" w:hAnsi="Arial" w:cs="Arial"/>
          <w:sz w:val="24"/>
          <w:lang w:val="es-NI"/>
        </w:rPr>
        <w:t>los niveles de transmisión</w:t>
      </w:r>
      <w:r w:rsidR="00F610A7">
        <w:rPr>
          <w:rFonts w:ascii="Arial" w:hAnsi="Arial" w:cs="Arial"/>
          <w:sz w:val="24"/>
          <w:lang w:val="es-NI"/>
        </w:rPr>
        <w:t xml:space="preserve"> comunitaria</w:t>
      </w:r>
      <w:r w:rsidR="00F610A7" w:rsidRPr="009C3318">
        <w:rPr>
          <w:rFonts w:ascii="Arial" w:hAnsi="Arial" w:cs="Arial"/>
          <w:sz w:val="24"/>
          <w:lang w:val="es-NI"/>
        </w:rPr>
        <w:t xml:space="preserve"> se mantuvieron en general en el nivel 1 y en algunos SILAIS los niveles de transmisión fueron de casos esporádicos</w:t>
      </w:r>
      <w:r w:rsidR="00F610A7">
        <w:rPr>
          <w:rFonts w:ascii="Arial" w:hAnsi="Arial" w:cs="Arial"/>
          <w:sz w:val="24"/>
          <w:lang w:val="es-NI"/>
        </w:rPr>
        <w:t>,</w:t>
      </w:r>
      <w:r w:rsidR="00F610A7" w:rsidRPr="009C3318">
        <w:rPr>
          <w:rFonts w:ascii="Arial" w:hAnsi="Arial" w:cs="Arial"/>
          <w:sz w:val="24"/>
          <w:lang w:val="es-NI"/>
        </w:rPr>
        <w:t xml:space="preserve"> </w:t>
      </w:r>
      <w:r w:rsidR="00F610A7">
        <w:rPr>
          <w:rFonts w:ascii="Arial" w:hAnsi="Arial" w:cs="Arial"/>
          <w:sz w:val="24"/>
          <w:lang w:val="es-NI"/>
        </w:rPr>
        <w:t xml:space="preserve">aunque </w:t>
      </w:r>
      <w:r w:rsidR="00F610A7" w:rsidRPr="0070067F">
        <w:rPr>
          <w:rFonts w:ascii="Arial" w:hAnsi="Arial" w:cs="Arial"/>
          <w:sz w:val="24"/>
          <w:lang w:val="es-NI"/>
        </w:rPr>
        <w:t xml:space="preserve">posteriormente se </w:t>
      </w:r>
      <w:r w:rsidR="00F610A7">
        <w:rPr>
          <w:rFonts w:ascii="Arial" w:hAnsi="Arial" w:cs="Arial"/>
          <w:sz w:val="24"/>
          <w:lang w:val="es-NI"/>
        </w:rPr>
        <w:t>desarrolló</w:t>
      </w:r>
      <w:r w:rsidR="00F610A7" w:rsidRPr="0070067F">
        <w:rPr>
          <w:rFonts w:ascii="Arial" w:hAnsi="Arial" w:cs="Arial"/>
          <w:sz w:val="24"/>
          <w:lang w:val="es-NI"/>
        </w:rPr>
        <w:t xml:space="preserve"> </w:t>
      </w:r>
      <w:r w:rsidR="00EB77AD">
        <w:rPr>
          <w:rFonts w:ascii="Arial" w:hAnsi="Arial" w:cs="Arial"/>
          <w:sz w:val="24"/>
          <w:lang w:val="es-NI"/>
        </w:rPr>
        <w:t xml:space="preserve">el inicio de </w:t>
      </w:r>
      <w:r w:rsidR="00F610A7" w:rsidRPr="0070067F">
        <w:rPr>
          <w:rFonts w:ascii="Arial" w:hAnsi="Arial" w:cs="Arial"/>
          <w:sz w:val="24"/>
          <w:lang w:val="es-NI"/>
        </w:rPr>
        <w:t xml:space="preserve">una segunda ola viral </w:t>
      </w:r>
      <w:r w:rsidR="00F610A7">
        <w:rPr>
          <w:rFonts w:ascii="Arial" w:hAnsi="Arial" w:cs="Arial"/>
          <w:sz w:val="24"/>
          <w:lang w:val="es-NI"/>
        </w:rPr>
        <w:t>estos niveles de transmisión se mantuvieron.</w:t>
      </w:r>
    </w:p>
    <w:p w14:paraId="5F3C2798" w14:textId="77777777" w:rsidR="00F610A7" w:rsidRPr="00F610A7" w:rsidRDefault="00F610A7" w:rsidP="00740FB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21C7D799" w14:textId="77777777" w:rsidR="00F610A7" w:rsidRPr="00F610A7" w:rsidRDefault="00F610A7" w:rsidP="00740FBB">
      <w:pPr>
        <w:spacing w:line="360" w:lineRule="auto"/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0AA6D935" w14:textId="77777777" w:rsidR="00F610A7" w:rsidRDefault="00F610A7" w:rsidP="00F610A7">
      <w:pPr>
        <w:rPr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p w14:paraId="7BE81664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7590316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B7ACD65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578EEF5" w14:textId="5EE44B24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1A3EB42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A8BF799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FA0BB7C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DC648FC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7C38541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9B95894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C233AF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67BE10F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53DEE0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DF6AD33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747F90C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F0E91EE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1B349D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67F8848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B68CB21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132E76A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474DEEFF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5FABEA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FD0588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8BC4F53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551A5DF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733A70E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26D5A77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479A5978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082F775" w14:textId="37B06739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70419D8" w14:textId="02A82FCC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  <w:sectPr w:rsidR="00720CB1" w:rsidSect="00720CB1">
          <w:pgSz w:w="15840" w:h="12240" w:orient="landscape"/>
          <w:pgMar w:top="1134" w:right="1134" w:bottom="1134" w:left="1134" w:header="709" w:footer="709" w:gutter="0"/>
          <w:cols w:space="708"/>
          <w:docGrid w:linePitch="490"/>
        </w:sectPr>
      </w:pPr>
      <w:r>
        <w:rPr>
          <w:rFonts w:ascii="Arial" w:hAnsi="Arial" w:cs="Arial"/>
          <w:sz w:val="24"/>
          <w:lang w:val="es-NI"/>
        </w:rPr>
        <w:t>A</w:t>
      </w:r>
      <w:r w:rsidR="00F610A7" w:rsidRPr="00F5749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nivel nacional </w:t>
      </w:r>
    </w:p>
    <w:p w14:paraId="16088FA3" w14:textId="54EFF58C" w:rsidR="00C24289" w:rsidRDefault="00C24289" w:rsidP="00C24289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Durante las 4</w:t>
      </w:r>
      <w:r>
        <w:rPr>
          <w:rFonts w:ascii="Arial" w:hAnsi="Arial" w:cs="Arial"/>
          <w:sz w:val="24"/>
          <w:lang w:val="es-NI"/>
        </w:rPr>
        <w:t>7</w:t>
      </w:r>
      <w:r>
        <w:rPr>
          <w:rFonts w:ascii="Arial" w:hAnsi="Arial" w:cs="Arial"/>
          <w:sz w:val="24"/>
          <w:lang w:val="es-NI"/>
        </w:rPr>
        <w:t xml:space="preserve"> semanas epidemiológicas </w:t>
      </w:r>
      <w:r w:rsidRPr="009C3318">
        <w:rPr>
          <w:rFonts w:ascii="Arial" w:hAnsi="Arial" w:cs="Arial"/>
          <w:sz w:val="24"/>
          <w:lang w:val="es-NI"/>
        </w:rPr>
        <w:t>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>
        <w:rPr>
          <w:rFonts w:ascii="Arial" w:hAnsi="Arial" w:cs="Arial"/>
          <w:sz w:val="24"/>
          <w:lang w:val="es-NI"/>
        </w:rPr>
        <w:t xml:space="preserve">municipios </w:t>
      </w:r>
      <w:r w:rsidRPr="009C3318">
        <w:rPr>
          <w:rFonts w:ascii="Arial" w:hAnsi="Arial" w:cs="Arial"/>
          <w:sz w:val="24"/>
          <w:lang w:val="es-NI"/>
        </w:rPr>
        <w:t>los niveles de transmisión fueron de casos esporádicos</w:t>
      </w:r>
      <w:r>
        <w:rPr>
          <w:rFonts w:ascii="Arial" w:hAnsi="Arial" w:cs="Arial"/>
          <w:sz w:val="24"/>
          <w:lang w:val="es-NI"/>
        </w:rPr>
        <w:t>.</w:t>
      </w:r>
    </w:p>
    <w:p w14:paraId="617B0C6C" w14:textId="77777777" w:rsidR="00C24289" w:rsidRPr="00F610A7" w:rsidRDefault="00C24289" w:rsidP="00C24289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48986B84" w14:textId="77777777" w:rsidR="00C24289" w:rsidRPr="00F610A7" w:rsidRDefault="00C24289" w:rsidP="00C24289">
      <w:pPr>
        <w:spacing w:line="360" w:lineRule="auto"/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1A619074" w14:textId="77777777" w:rsidR="00C24289" w:rsidRPr="00F2720A" w:rsidRDefault="00C24289" w:rsidP="00C24289">
      <w:pPr>
        <w:spacing w:line="36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2BEF8264" w14:textId="77777777" w:rsidR="00C24289" w:rsidRDefault="00C24289" w:rsidP="00C24289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mortalidad</w:t>
      </w:r>
      <w:r>
        <w:rPr>
          <w:rFonts w:ascii="Arial" w:hAnsi="Arial" w:cs="Arial"/>
          <w:sz w:val="24"/>
          <w:lang w:val="es-NI"/>
        </w:rPr>
        <w:t xml:space="preserve"> de nuestro SILAIS en estas 21 semanas </w:t>
      </w:r>
      <w:r w:rsidRPr="009044DC">
        <w:rPr>
          <w:rFonts w:ascii="Arial" w:hAnsi="Arial" w:cs="Arial"/>
          <w:sz w:val="24"/>
          <w:lang w:val="es-NI"/>
        </w:rPr>
        <w:t>COVID-19 fue de 0.</w:t>
      </w:r>
      <w:r>
        <w:rPr>
          <w:rFonts w:ascii="Arial" w:hAnsi="Arial" w:cs="Arial"/>
          <w:sz w:val="24"/>
          <w:lang w:val="es-NI"/>
        </w:rPr>
        <w:t>61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14:paraId="1E69FE69" w14:textId="749BCC99" w:rsidR="00C24289" w:rsidRDefault="00C24289" w:rsidP="00C24289">
      <w:pPr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</w:t>
      </w:r>
      <w:r>
        <w:rPr>
          <w:rFonts w:ascii="Arial" w:hAnsi="Arial" w:cs="Arial"/>
          <w:sz w:val="24"/>
          <w:lang w:val="es-NI"/>
        </w:rPr>
        <w:t>bi</w:t>
      </w:r>
      <w:r w:rsidRPr="009044DC">
        <w:rPr>
          <w:rFonts w:ascii="Arial" w:hAnsi="Arial" w:cs="Arial"/>
          <w:sz w:val="24"/>
          <w:lang w:val="es-NI"/>
        </w:rPr>
        <w:t>lidad</w:t>
      </w:r>
      <w:r>
        <w:rPr>
          <w:rFonts w:ascii="Arial" w:hAnsi="Arial" w:cs="Arial"/>
          <w:sz w:val="24"/>
          <w:lang w:val="es-NI"/>
        </w:rPr>
        <w:t xml:space="preserve"> de nuestro SILAIS en estas 21 semanas </w:t>
      </w:r>
      <w:r w:rsidRPr="009044DC">
        <w:rPr>
          <w:rFonts w:ascii="Arial" w:hAnsi="Arial" w:cs="Arial"/>
          <w:sz w:val="24"/>
          <w:lang w:val="es-NI"/>
        </w:rPr>
        <w:t xml:space="preserve">COVID-19 fue de </w:t>
      </w:r>
      <w:r>
        <w:rPr>
          <w:rFonts w:ascii="Arial" w:hAnsi="Arial" w:cs="Arial"/>
          <w:sz w:val="24"/>
          <w:lang w:val="es-NI"/>
        </w:rPr>
        <w:t>1.</w:t>
      </w:r>
      <w:r>
        <w:rPr>
          <w:rFonts w:ascii="Arial" w:hAnsi="Arial" w:cs="Arial"/>
          <w:sz w:val="24"/>
          <w:lang w:val="es-NI"/>
        </w:rPr>
        <w:t>44</w:t>
      </w:r>
      <w:bookmarkStart w:id="0" w:name="_GoBack"/>
      <w:bookmarkEnd w:id="0"/>
      <w:r w:rsidRPr="009044DC">
        <w:rPr>
          <w:rFonts w:ascii="Arial" w:hAnsi="Arial" w:cs="Arial"/>
          <w:sz w:val="24"/>
          <w:lang w:val="es-NI"/>
        </w:rPr>
        <w:t xml:space="preserve"> x 10,000 hab</w:t>
      </w:r>
      <w:r>
        <w:rPr>
          <w:rFonts w:ascii="Arial" w:hAnsi="Arial" w:cs="Arial"/>
          <w:sz w:val="24"/>
          <w:lang w:val="es-NI"/>
        </w:rPr>
        <w:t>.</w:t>
      </w:r>
    </w:p>
    <w:p w14:paraId="4AFA8FFD" w14:textId="0972A7D8" w:rsidR="00C24289" w:rsidRDefault="00C24289" w:rsidP="00C24289">
      <w:pPr>
        <w:jc w:val="both"/>
        <w:rPr>
          <w:rFonts w:ascii="Arial" w:hAnsi="Arial" w:cs="Arial"/>
          <w:sz w:val="24"/>
          <w:lang w:val="es-NI"/>
        </w:rPr>
      </w:pPr>
    </w:p>
    <w:p w14:paraId="0E9DAF29" w14:textId="52557962" w:rsidR="00C24289" w:rsidRDefault="00C24289" w:rsidP="00C24289">
      <w:pPr>
        <w:jc w:val="both"/>
        <w:rPr>
          <w:rFonts w:ascii="Arial" w:hAnsi="Arial" w:cs="Arial"/>
          <w:sz w:val="24"/>
          <w:lang w:val="es-NI"/>
        </w:rPr>
      </w:pPr>
    </w:p>
    <w:p w14:paraId="341E7500" w14:textId="0F7B5705" w:rsidR="00C24289" w:rsidRDefault="00C24289" w:rsidP="00C24289">
      <w:pPr>
        <w:jc w:val="both"/>
        <w:rPr>
          <w:rFonts w:ascii="Arial" w:hAnsi="Arial" w:cs="Arial"/>
          <w:sz w:val="24"/>
          <w:lang w:val="es-NI"/>
        </w:rPr>
      </w:pPr>
    </w:p>
    <w:p w14:paraId="09C62260" w14:textId="11218243" w:rsidR="00C24289" w:rsidRDefault="00C24289" w:rsidP="00C24289">
      <w:pPr>
        <w:jc w:val="both"/>
        <w:rPr>
          <w:rFonts w:ascii="Arial" w:hAnsi="Arial" w:cs="Arial"/>
          <w:sz w:val="24"/>
          <w:lang w:val="es-NI"/>
        </w:rPr>
      </w:pPr>
    </w:p>
    <w:p w14:paraId="4D8EFF75" w14:textId="01EB1169" w:rsidR="00C24289" w:rsidRDefault="00C24289" w:rsidP="00C24289">
      <w:pPr>
        <w:jc w:val="both"/>
        <w:rPr>
          <w:rFonts w:ascii="Arial" w:hAnsi="Arial" w:cs="Arial"/>
          <w:sz w:val="24"/>
          <w:lang w:val="es-NI"/>
        </w:rPr>
      </w:pPr>
    </w:p>
    <w:p w14:paraId="32079DD2" w14:textId="693E4F5D" w:rsidR="00C24289" w:rsidRDefault="00C24289" w:rsidP="00C24289">
      <w:pPr>
        <w:jc w:val="both"/>
        <w:rPr>
          <w:rFonts w:ascii="Arial" w:hAnsi="Arial" w:cs="Arial"/>
          <w:sz w:val="24"/>
          <w:lang w:val="es-NI"/>
        </w:rPr>
      </w:pPr>
    </w:p>
    <w:p w14:paraId="16779DF8" w14:textId="77777777" w:rsidR="00C24289" w:rsidRDefault="00C24289" w:rsidP="00C24289">
      <w:pPr>
        <w:jc w:val="both"/>
        <w:rPr>
          <w:rFonts w:ascii="Arial" w:hAnsi="Arial" w:cs="Arial"/>
          <w:sz w:val="24"/>
          <w:lang w:val="es-NI"/>
        </w:rPr>
      </w:pP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8F19744" w14:textId="085A1683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184F40DF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2E34CDBC" w14:textId="77777777" w:rsidR="00E81838" w:rsidRDefault="00615BD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                              </w:t>
      </w:r>
    </w:p>
    <w:tbl>
      <w:tblPr>
        <w:tblpPr w:leftFromText="141" w:rightFromText="141" w:horzAnchor="margin" w:tblpXSpec="center" w:tblpY="2880"/>
        <w:tblW w:w="5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3"/>
        <w:gridCol w:w="868"/>
        <w:gridCol w:w="830"/>
      </w:tblGrid>
      <w:tr w:rsidR="00E81838" w:rsidRPr="00E81838" w14:paraId="4327505B" w14:textId="77777777" w:rsidTr="00E81838">
        <w:trPr>
          <w:trHeight w:val="2354"/>
        </w:trPr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6E5A" w14:textId="77777777" w:rsidR="00E81838" w:rsidRPr="00E81838" w:rsidRDefault="00E81838" w:rsidP="00E818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lastRenderedPageBreak/>
              <w:t>COVID 19 Caso Confirmado</w:t>
            </w:r>
            <w:r w:rsidRPr="00E818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 habitantes.</w:t>
            </w:r>
            <w:r w:rsidRPr="00E818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47º semana epidemiológica</w:t>
            </w:r>
            <w:r w:rsidRPr="00E818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JINOTEGA por Municipio</w:t>
            </w:r>
            <w:r w:rsidRPr="00E818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2021 - 2021</w:t>
            </w:r>
            <w:r w:rsidRPr="00E818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E81838" w:rsidRPr="00E81838" w14:paraId="02DBBC9F" w14:textId="77777777" w:rsidTr="00E81838">
        <w:trPr>
          <w:trHeight w:val="462"/>
        </w:trPr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8ED8" w14:textId="77777777" w:rsidR="00E81838" w:rsidRPr="00E81838" w:rsidRDefault="00E81838" w:rsidP="00E818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26EE1DD" w14:textId="77777777" w:rsidR="00E81838" w:rsidRPr="00E81838" w:rsidRDefault="00E81838" w:rsidP="00E818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E81838" w:rsidRPr="00E81838" w14:paraId="29D9A705" w14:textId="77777777" w:rsidTr="00E81838">
        <w:trPr>
          <w:trHeight w:val="374"/>
        </w:trPr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2DFD15D" w14:textId="77777777" w:rsidR="00E81838" w:rsidRPr="00E81838" w:rsidRDefault="00E81838" w:rsidP="00E818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F6FC012" w14:textId="77777777" w:rsidR="00E81838" w:rsidRPr="00E81838" w:rsidRDefault="00E81838" w:rsidP="00E818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D283082" w14:textId="77777777" w:rsidR="00E81838" w:rsidRPr="00E81838" w:rsidRDefault="00E81838" w:rsidP="00E818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E81838" w:rsidRPr="00E81838" w14:paraId="4A16AD9C" w14:textId="77777777" w:rsidTr="00E81838">
        <w:trPr>
          <w:trHeight w:val="352"/>
        </w:trPr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942B6" w14:textId="77777777" w:rsidR="00E81838" w:rsidRPr="00E81838" w:rsidRDefault="00E81838" w:rsidP="00E8183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0F611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32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CBB9F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0.74</w:t>
            </w:r>
          </w:p>
        </w:tc>
      </w:tr>
      <w:tr w:rsidR="00E81838" w:rsidRPr="00E81838" w14:paraId="66AB172F" w14:textId="77777777" w:rsidTr="00E81838">
        <w:trPr>
          <w:trHeight w:val="352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F1442" w14:textId="77777777" w:rsidR="00E81838" w:rsidRPr="00E81838" w:rsidRDefault="00E81838" w:rsidP="00E8183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918F8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FB8A3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2.29</w:t>
            </w:r>
          </w:p>
        </w:tc>
      </w:tr>
      <w:tr w:rsidR="00E81838" w:rsidRPr="00E81838" w14:paraId="4C4EF575" w14:textId="77777777" w:rsidTr="00E81838">
        <w:trPr>
          <w:trHeight w:val="352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55B56" w14:textId="77777777" w:rsidR="00E81838" w:rsidRPr="00E81838" w:rsidRDefault="00E81838" w:rsidP="00E8183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La Concordia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DD658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4E195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4.16</w:t>
            </w:r>
          </w:p>
        </w:tc>
      </w:tr>
      <w:tr w:rsidR="00E81838" w:rsidRPr="00E81838" w14:paraId="6B8E031A" w14:textId="77777777" w:rsidTr="00E81838">
        <w:trPr>
          <w:trHeight w:val="352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B6BBD" w14:textId="77777777" w:rsidR="00E81838" w:rsidRPr="00E81838" w:rsidRDefault="00E81838" w:rsidP="00E8183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José Bocay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0EA27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3D8BA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0.62</w:t>
            </w:r>
          </w:p>
        </w:tc>
      </w:tr>
      <w:tr w:rsidR="00E81838" w:rsidRPr="00E81838" w14:paraId="0B5B60DC" w14:textId="77777777" w:rsidTr="00E81838">
        <w:trPr>
          <w:trHeight w:val="352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9EABE" w14:textId="77777777" w:rsidR="00E81838" w:rsidRPr="00E81838" w:rsidRDefault="00E81838" w:rsidP="00E8183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Rafael del Norte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F53F6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4F582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2.19</w:t>
            </w:r>
          </w:p>
        </w:tc>
      </w:tr>
      <w:tr w:rsidR="00E81838" w:rsidRPr="00E81838" w14:paraId="429F8EB6" w14:textId="77777777" w:rsidTr="00E81838">
        <w:trPr>
          <w:trHeight w:val="352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F8939" w14:textId="77777777" w:rsidR="00E81838" w:rsidRPr="00E81838" w:rsidRDefault="00E81838" w:rsidP="00E8183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Sebastián de Yalí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03D7A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34F22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1.30</w:t>
            </w:r>
          </w:p>
        </w:tc>
      </w:tr>
      <w:tr w:rsidR="00E81838" w:rsidRPr="00E81838" w14:paraId="3A5F8917" w14:textId="77777777" w:rsidTr="00E81838">
        <w:trPr>
          <w:trHeight w:val="352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2C145" w14:textId="77777777" w:rsidR="00E81838" w:rsidRPr="00E81838" w:rsidRDefault="00E81838" w:rsidP="00E8183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D619C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68D16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1.37</w:t>
            </w:r>
          </w:p>
        </w:tc>
      </w:tr>
      <w:tr w:rsidR="00E81838" w:rsidRPr="00E81838" w14:paraId="0224F9BB" w14:textId="77777777" w:rsidTr="00E81838">
        <w:trPr>
          <w:trHeight w:val="352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B1A2F" w14:textId="77777777" w:rsidR="00E81838" w:rsidRPr="00E81838" w:rsidRDefault="00E81838" w:rsidP="00E8183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86D50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69A29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0.66</w:t>
            </w:r>
          </w:p>
        </w:tc>
      </w:tr>
      <w:tr w:rsidR="00E81838" w:rsidRPr="00E81838" w14:paraId="71AFE8C2" w14:textId="77777777" w:rsidTr="00E81838">
        <w:trPr>
          <w:trHeight w:val="374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F8D1E73" w14:textId="77777777" w:rsidR="00E81838" w:rsidRPr="00E81838" w:rsidRDefault="00E81838" w:rsidP="00E8183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E818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E818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3D5FF5D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3B27E9C" w14:textId="77777777" w:rsidR="00E81838" w:rsidRPr="00E81838" w:rsidRDefault="00E81838" w:rsidP="00E8183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E818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1.44</w:t>
            </w:r>
          </w:p>
        </w:tc>
      </w:tr>
    </w:tbl>
    <w:p w14:paraId="0112B696" w14:textId="7F0CEEDF" w:rsidR="00EE36EE" w:rsidRDefault="00EE36EE" w:rsidP="003B50D3">
      <w:pPr>
        <w:jc w:val="both"/>
        <w:rPr>
          <w:rFonts w:ascii="Arial" w:hAnsi="Arial" w:cs="Arial"/>
          <w:sz w:val="24"/>
          <w:lang w:val="es-NI"/>
        </w:rPr>
      </w:pPr>
    </w:p>
    <w:p w14:paraId="5DFA41C5" w14:textId="516DEC65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10051D4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E39DE59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3172F4F6" w14:textId="153D5936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6D942B08" w14:textId="32D44C6D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08E3DBC2" w14:textId="2C807844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C2B97E5" w14:textId="468752D6" w:rsidR="00C130F7" w:rsidRPr="005B0DA8" w:rsidRDefault="00C130F7" w:rsidP="003B50D3">
      <w:pPr>
        <w:jc w:val="both"/>
        <w:rPr>
          <w:rFonts w:ascii="Arial" w:hAnsi="Arial" w:cs="Arial"/>
          <w:sz w:val="24"/>
          <w:lang w:val="es-NI"/>
        </w:rPr>
      </w:pPr>
    </w:p>
    <w:p w14:paraId="38FA6177" w14:textId="36BCEE7C" w:rsidR="00C130F7" w:rsidRDefault="00C130F7" w:rsidP="003B50D3">
      <w:pPr>
        <w:jc w:val="both"/>
        <w:rPr>
          <w:noProof/>
          <w:lang w:val="es-NI" w:eastAsia="es-NI"/>
        </w:rPr>
      </w:pPr>
    </w:p>
    <w:p w14:paraId="61D3FF50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369865A0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293C937E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6DE05C9B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63C90F0B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136E088F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7EDA7391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48CB4967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30BD142F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A1091FF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000F9A89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59363A14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8734E2F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77AE13B7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03F0195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42FBE7DA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8C542A1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560E59E5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0DB36BC0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4802955D" w14:textId="71FFAD78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1BB75E30" w14:textId="3D8052A1" w:rsidR="00EE36EE" w:rsidRDefault="00615BD2" w:rsidP="00C130F7">
      <w:pPr>
        <w:jc w:val="center"/>
        <w:rPr>
          <w:rFonts w:ascii="Arial" w:hAnsi="Arial" w:cs="Arial"/>
          <w:b/>
          <w:sz w:val="28"/>
          <w:lang w:val="es-NI"/>
        </w:rPr>
      </w:pPr>
      <w:r w:rsidRPr="00615BD2">
        <w:rPr>
          <w:rFonts w:ascii="Arial" w:hAnsi="Arial" w:cs="Arial"/>
          <w:b/>
          <w:sz w:val="28"/>
          <w:lang w:val="es-NI"/>
        </w:rPr>
        <w:t>Muestreo c</w:t>
      </w:r>
      <w:r w:rsidR="00C130F7">
        <w:rPr>
          <w:rFonts w:ascii="Arial" w:hAnsi="Arial" w:cs="Arial"/>
          <w:b/>
          <w:sz w:val="28"/>
          <w:lang w:val="es-NI"/>
        </w:rPr>
        <w:t xml:space="preserve">orrespondiente al mes de </w:t>
      </w:r>
      <w:r w:rsidR="00825E9C">
        <w:rPr>
          <w:rFonts w:ascii="Arial" w:hAnsi="Arial" w:cs="Arial"/>
          <w:b/>
          <w:sz w:val="28"/>
          <w:lang w:val="es-NI"/>
        </w:rPr>
        <w:t>noviembre</w:t>
      </w:r>
    </w:p>
    <w:p w14:paraId="3FE9FEC5" w14:textId="44289A2F" w:rsidR="00720CB1" w:rsidRDefault="007F0180" w:rsidP="00C130F7">
      <w:pPr>
        <w:jc w:val="center"/>
        <w:rPr>
          <w:noProof/>
          <w:lang w:val="es-NI" w:eastAsia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99200" behindDoc="1" locked="0" layoutInCell="1" allowOverlap="1" wp14:anchorId="00EF6EA0" wp14:editId="5A298375">
            <wp:simplePos x="0" y="0"/>
            <wp:positionH relativeFrom="column">
              <wp:posOffset>-317500</wp:posOffset>
            </wp:positionH>
            <wp:positionV relativeFrom="paragraph">
              <wp:posOffset>283210</wp:posOffset>
            </wp:positionV>
            <wp:extent cx="6868160" cy="4016375"/>
            <wp:effectExtent l="0" t="0" r="8890" b="3175"/>
            <wp:wrapTight wrapText="bothSides">
              <wp:wrapPolygon edited="0">
                <wp:start x="0" y="0"/>
                <wp:lineTo x="0" y="21515"/>
                <wp:lineTo x="21568" y="21515"/>
                <wp:lineTo x="21568" y="0"/>
                <wp:lineTo x="0" y="0"/>
              </wp:wrapPolygon>
            </wp:wrapTight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86036" w14:textId="580147B4" w:rsidR="000C04E5" w:rsidRPr="00615BD2" w:rsidRDefault="005B0DA8" w:rsidP="00C130F7">
      <w:pPr>
        <w:jc w:val="center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b/>
          <w:sz w:val="28"/>
          <w:lang w:val="es-NI"/>
        </w:rPr>
        <w:t xml:space="preserve"> </w:t>
      </w:r>
    </w:p>
    <w:sectPr w:rsidR="000C04E5" w:rsidRPr="00615BD2" w:rsidSect="00720CB1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5B0BC" w14:textId="77777777" w:rsidR="00CD7D49" w:rsidRDefault="00CD7D49" w:rsidP="0097075D">
      <w:pPr>
        <w:spacing w:line="240" w:lineRule="auto"/>
      </w:pPr>
      <w:r>
        <w:separator/>
      </w:r>
    </w:p>
  </w:endnote>
  <w:endnote w:type="continuationSeparator" w:id="0">
    <w:p w14:paraId="0D732AEA" w14:textId="77777777" w:rsidR="00CD7D49" w:rsidRDefault="00CD7D49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44758" w14:textId="77777777" w:rsidR="00CD7D49" w:rsidRDefault="00CD7D49" w:rsidP="0097075D">
      <w:pPr>
        <w:spacing w:line="240" w:lineRule="auto"/>
      </w:pPr>
      <w:r>
        <w:separator/>
      </w:r>
    </w:p>
  </w:footnote>
  <w:footnote w:type="continuationSeparator" w:id="0">
    <w:p w14:paraId="2558CD6C" w14:textId="77777777" w:rsidR="00CD7D49" w:rsidRDefault="00CD7D49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79B"/>
    <w:rsid w:val="0004106C"/>
    <w:rsid w:val="000443F1"/>
    <w:rsid w:val="00056D29"/>
    <w:rsid w:val="00074D95"/>
    <w:rsid w:val="000A08C9"/>
    <w:rsid w:val="000B1794"/>
    <w:rsid w:val="000C04E5"/>
    <w:rsid w:val="000D0EAA"/>
    <w:rsid w:val="000D3440"/>
    <w:rsid w:val="000D6128"/>
    <w:rsid w:val="000E3546"/>
    <w:rsid w:val="000E494C"/>
    <w:rsid w:val="001406E1"/>
    <w:rsid w:val="00150C0E"/>
    <w:rsid w:val="001531A1"/>
    <w:rsid w:val="00167561"/>
    <w:rsid w:val="00173557"/>
    <w:rsid w:val="001808AF"/>
    <w:rsid w:val="001A4623"/>
    <w:rsid w:val="001B69D7"/>
    <w:rsid w:val="001C3ECF"/>
    <w:rsid w:val="001D2AE9"/>
    <w:rsid w:val="0020313B"/>
    <w:rsid w:val="002250BC"/>
    <w:rsid w:val="002373FE"/>
    <w:rsid w:val="00242172"/>
    <w:rsid w:val="00252276"/>
    <w:rsid w:val="002814DE"/>
    <w:rsid w:val="0029430E"/>
    <w:rsid w:val="00295E0B"/>
    <w:rsid w:val="002F178C"/>
    <w:rsid w:val="0031078C"/>
    <w:rsid w:val="00371E68"/>
    <w:rsid w:val="003B50D3"/>
    <w:rsid w:val="003D1A8D"/>
    <w:rsid w:val="003D3179"/>
    <w:rsid w:val="00427E2E"/>
    <w:rsid w:val="00443C86"/>
    <w:rsid w:val="00480CB5"/>
    <w:rsid w:val="004B089F"/>
    <w:rsid w:val="004B4342"/>
    <w:rsid w:val="004C695C"/>
    <w:rsid w:val="005111B3"/>
    <w:rsid w:val="00525D30"/>
    <w:rsid w:val="00536BF0"/>
    <w:rsid w:val="00574C32"/>
    <w:rsid w:val="00586538"/>
    <w:rsid w:val="00590C19"/>
    <w:rsid w:val="00592509"/>
    <w:rsid w:val="005A4C74"/>
    <w:rsid w:val="005A55C3"/>
    <w:rsid w:val="005B0DA8"/>
    <w:rsid w:val="005B7A75"/>
    <w:rsid w:val="005D3746"/>
    <w:rsid w:val="005D55B9"/>
    <w:rsid w:val="005E6B22"/>
    <w:rsid w:val="006106AE"/>
    <w:rsid w:val="00615BD2"/>
    <w:rsid w:val="006339FD"/>
    <w:rsid w:val="00636532"/>
    <w:rsid w:val="0064293F"/>
    <w:rsid w:val="00646625"/>
    <w:rsid w:val="00651844"/>
    <w:rsid w:val="00654DD2"/>
    <w:rsid w:val="006B0CCB"/>
    <w:rsid w:val="006B505F"/>
    <w:rsid w:val="0070067F"/>
    <w:rsid w:val="00704243"/>
    <w:rsid w:val="00720CB1"/>
    <w:rsid w:val="007350E7"/>
    <w:rsid w:val="00740FBB"/>
    <w:rsid w:val="00774025"/>
    <w:rsid w:val="007A3ECF"/>
    <w:rsid w:val="007B6833"/>
    <w:rsid w:val="007E16C5"/>
    <w:rsid w:val="007F0180"/>
    <w:rsid w:val="007F59A4"/>
    <w:rsid w:val="00825E9C"/>
    <w:rsid w:val="00831423"/>
    <w:rsid w:val="008735C1"/>
    <w:rsid w:val="008909AB"/>
    <w:rsid w:val="008A5233"/>
    <w:rsid w:val="008B23A7"/>
    <w:rsid w:val="008D5E8B"/>
    <w:rsid w:val="008E326B"/>
    <w:rsid w:val="009044DC"/>
    <w:rsid w:val="0092517A"/>
    <w:rsid w:val="00931B24"/>
    <w:rsid w:val="009450CF"/>
    <w:rsid w:val="00965E03"/>
    <w:rsid w:val="0097075D"/>
    <w:rsid w:val="00977FBC"/>
    <w:rsid w:val="009B4BCF"/>
    <w:rsid w:val="009C3318"/>
    <w:rsid w:val="009D2202"/>
    <w:rsid w:val="009D5347"/>
    <w:rsid w:val="009E6B9F"/>
    <w:rsid w:val="009F0123"/>
    <w:rsid w:val="009F6C99"/>
    <w:rsid w:val="00A11FB7"/>
    <w:rsid w:val="00A165DA"/>
    <w:rsid w:val="00A25944"/>
    <w:rsid w:val="00A6277D"/>
    <w:rsid w:val="00A70999"/>
    <w:rsid w:val="00A8454C"/>
    <w:rsid w:val="00AB161A"/>
    <w:rsid w:val="00AB6F24"/>
    <w:rsid w:val="00AD31A6"/>
    <w:rsid w:val="00AD53EA"/>
    <w:rsid w:val="00B006AC"/>
    <w:rsid w:val="00B009B9"/>
    <w:rsid w:val="00B16BB5"/>
    <w:rsid w:val="00B43A9C"/>
    <w:rsid w:val="00B52D41"/>
    <w:rsid w:val="00BC1B51"/>
    <w:rsid w:val="00C130F7"/>
    <w:rsid w:val="00C23F4A"/>
    <w:rsid w:val="00C24289"/>
    <w:rsid w:val="00C26D55"/>
    <w:rsid w:val="00C31905"/>
    <w:rsid w:val="00C4004E"/>
    <w:rsid w:val="00C90460"/>
    <w:rsid w:val="00CA46D1"/>
    <w:rsid w:val="00CC3454"/>
    <w:rsid w:val="00CD7D49"/>
    <w:rsid w:val="00D01CC3"/>
    <w:rsid w:val="00D16887"/>
    <w:rsid w:val="00D75557"/>
    <w:rsid w:val="00DA480F"/>
    <w:rsid w:val="00DD393B"/>
    <w:rsid w:val="00DE20CC"/>
    <w:rsid w:val="00DE5A48"/>
    <w:rsid w:val="00E20295"/>
    <w:rsid w:val="00E65458"/>
    <w:rsid w:val="00E760F7"/>
    <w:rsid w:val="00E772D2"/>
    <w:rsid w:val="00E81838"/>
    <w:rsid w:val="00EB77AD"/>
    <w:rsid w:val="00EC071C"/>
    <w:rsid w:val="00EE36EE"/>
    <w:rsid w:val="00F22617"/>
    <w:rsid w:val="00F271FF"/>
    <w:rsid w:val="00F2720A"/>
    <w:rsid w:val="00F33283"/>
    <w:rsid w:val="00F53755"/>
    <w:rsid w:val="00F57498"/>
    <w:rsid w:val="00F610A7"/>
    <w:rsid w:val="00F76674"/>
    <w:rsid w:val="00F944B3"/>
    <w:rsid w:val="00FA27F6"/>
    <w:rsid w:val="00FB606E"/>
    <w:rsid w:val="00FC7B51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600" b="1">
                <a:solidFill>
                  <a:srgbClr val="FF0000"/>
                </a:solidFill>
              </a:rPr>
              <a:t>Casos</a:t>
            </a:r>
            <a:r>
              <a:rPr lang="es-NI" sz="1600" b="1" baseline="0">
                <a:solidFill>
                  <a:srgbClr val="FF0000"/>
                </a:solidFill>
              </a:rPr>
              <a:t>  COVID-19 por semana epidemilogica mes de Agosto año  2021</a:t>
            </a:r>
            <a:endParaRPr lang="es-NI" sz="160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cat>
            <c:numRef>
              <c:f>'MUESTREO 20222'!$A$2:$A$48</c:f>
              <c:numCache>
                <c:formatCode>General</c:formatCode>
                <c:ptCount val="4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</c:numCache>
            </c:numRef>
          </c:cat>
          <c:val>
            <c:numRef>
              <c:f>'MUESTREO 20222'!$B$2:$B$48</c:f>
              <c:numCache>
                <c:formatCode>General</c:formatCode>
                <c:ptCount val="4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3</c:v>
                </c:pt>
                <c:pt idx="19">
                  <c:v>3</c:v>
                </c:pt>
                <c:pt idx="20">
                  <c:v>7</c:v>
                </c:pt>
                <c:pt idx="21">
                  <c:v>7</c:v>
                </c:pt>
                <c:pt idx="22">
                  <c:v>8</c:v>
                </c:pt>
                <c:pt idx="23">
                  <c:v>5</c:v>
                </c:pt>
                <c:pt idx="24">
                  <c:v>8</c:v>
                </c:pt>
                <c:pt idx="25">
                  <c:v>17</c:v>
                </c:pt>
                <c:pt idx="26">
                  <c:v>17</c:v>
                </c:pt>
                <c:pt idx="27">
                  <c:v>20</c:v>
                </c:pt>
                <c:pt idx="28">
                  <c:v>18</c:v>
                </c:pt>
                <c:pt idx="29">
                  <c:v>19</c:v>
                </c:pt>
                <c:pt idx="30">
                  <c:v>20</c:v>
                </c:pt>
                <c:pt idx="31">
                  <c:v>21</c:v>
                </c:pt>
                <c:pt idx="32">
                  <c:v>29</c:v>
                </c:pt>
                <c:pt idx="33">
                  <c:v>29</c:v>
                </c:pt>
                <c:pt idx="34">
                  <c:v>26</c:v>
                </c:pt>
                <c:pt idx="35">
                  <c:v>28</c:v>
                </c:pt>
                <c:pt idx="36">
                  <c:v>28</c:v>
                </c:pt>
                <c:pt idx="37">
                  <c:v>24</c:v>
                </c:pt>
                <c:pt idx="38">
                  <c:v>21</c:v>
                </c:pt>
                <c:pt idx="39">
                  <c:v>20</c:v>
                </c:pt>
                <c:pt idx="40">
                  <c:v>29</c:v>
                </c:pt>
                <c:pt idx="41">
                  <c:v>17</c:v>
                </c:pt>
                <c:pt idx="42">
                  <c:v>9</c:v>
                </c:pt>
                <c:pt idx="43">
                  <c:v>3</c:v>
                </c:pt>
                <c:pt idx="44">
                  <c:v>5</c:v>
                </c:pt>
                <c:pt idx="45">
                  <c:v>5</c:v>
                </c:pt>
                <c:pt idx="4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40-4E20-9170-4B519F42A8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'MUESTREO 20222'!$A$2:$A$48</c:f>
              <c:numCache>
                <c:formatCode>General</c:formatCode>
                <c:ptCount val="4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</c:numCache>
            </c:numRef>
          </c:cat>
          <c:val>
            <c:numRef>
              <c:f>'MUESTREO 20222'!$C$2:$C$48</c:f>
              <c:numCache>
                <c:formatCode>General</c:formatCode>
                <c:ptCount val="4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A40-4E20-9170-4B519F42A8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074969077141216E-2"/>
          <c:y val="4.9474335188620905E-2"/>
          <c:w val="0.92427368992669023"/>
          <c:h val="0.764694348271401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Hoja2!$BF$3:$BF$12</c:f>
              <c:numCache>
                <c:formatCode>General</c:formatCode>
                <c:ptCount val="10"/>
                <c:pt idx="0">
                  <c:v>7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41-45E5-A8C4-F9A8F5F5A290}"/>
            </c:ext>
          </c:extLst>
        </c:ser>
        <c:ser>
          <c:idx val="1"/>
          <c:order val="1"/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Hoja2!$BG$3:$BG$12</c:f>
              <c:numCache>
                <c:formatCode>0</c:formatCode>
                <c:ptCount val="10"/>
                <c:pt idx="0" formatCode="General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41-45E5-A8C4-F9A8F5F5A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47º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-3</c:v>
                </c:pt>
                <c:pt idx="2">
                  <c:v>0</c:v>
                </c:pt>
                <c:pt idx="3">
                  <c:v>-2</c:v>
                </c:pt>
                <c:pt idx="4">
                  <c:v>-6</c:v>
                </c:pt>
                <c:pt idx="5">
                  <c:v>-5</c:v>
                </c:pt>
                <c:pt idx="6">
                  <c:v>-49</c:v>
                </c:pt>
                <c:pt idx="7">
                  <c:v>-43</c:v>
                </c:pt>
                <c:pt idx="8">
                  <c:v>-19</c:v>
                </c:pt>
                <c:pt idx="9">
                  <c:v>-8</c:v>
                </c:pt>
                <c:pt idx="10">
                  <c:v>-30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97-48EB-9CB5-7DB804740D62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19</c:v>
                </c:pt>
                <c:pt idx="6">
                  <c:v>132</c:v>
                </c:pt>
                <c:pt idx="7">
                  <c:v>75</c:v>
                </c:pt>
                <c:pt idx="8">
                  <c:v>42</c:v>
                </c:pt>
                <c:pt idx="9">
                  <c:v>14</c:v>
                </c:pt>
                <c:pt idx="10">
                  <c:v>24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97-48EB-9CB5-7DB804740D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38647632"/>
        <c:axId val="238645672"/>
      </c:barChart>
      <c:catAx>
        <c:axId val="2386476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38645672"/>
        <c:crosses val="autoZero"/>
        <c:auto val="1"/>
        <c:lblAlgn val="ctr"/>
        <c:lblOffset val="100"/>
        <c:noMultiLvlLbl val="0"/>
      </c:catAx>
      <c:valAx>
        <c:axId val="238645672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3864763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47º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'P2'!$B$4:$B$15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'P2'!$C$4:$C$15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B5-4CED-92FE-8386F2C6EACA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B5-4CED-92FE-8386F2C6EA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6267232"/>
        <c:axId val="306268016"/>
      </c:barChart>
      <c:catAx>
        <c:axId val="306267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6268016"/>
        <c:crosses val="autoZero"/>
        <c:auto val="1"/>
        <c:lblAlgn val="ctr"/>
        <c:lblOffset val="100"/>
        <c:noMultiLvlLbl val="0"/>
      </c:catAx>
      <c:valAx>
        <c:axId val="30626801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626723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47º semana epidemiológica
 Jinotega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B757-49A5-A549-B133B5DA7992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B757-49A5-A549-B133B5DA7992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'P1'!$C$4:$D$4</c:f>
              <c:numCache>
                <c:formatCode>General</c:formatCode>
                <c:ptCount val="2"/>
                <c:pt idx="0" formatCode="0;0">
                  <c:v>-165</c:v>
                </c:pt>
                <c:pt idx="1">
                  <c:v>312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57-49A5-A549-B133B5DA79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FF0000"/>
                </a:solidFill>
              </a:rPr>
              <a:t>Muestreo</a:t>
            </a:r>
            <a:r>
              <a:rPr lang="en-US" b="1" baseline="0">
                <a:solidFill>
                  <a:srgbClr val="FF0000"/>
                </a:solidFill>
              </a:rPr>
              <a:t> hasta  el mes de Noviembre</a:t>
            </a:r>
          </a:p>
          <a:p>
            <a:pPr>
              <a:defRPr/>
            </a:pPr>
            <a:endParaRPr lang="en-US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Hoja5!$C$20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Hoja5!$C$21:$C$29</c:f>
              <c:numCache>
                <c:formatCode>General</c:formatCode>
                <c:ptCount val="9"/>
                <c:pt idx="0">
                  <c:v>182</c:v>
                </c:pt>
                <c:pt idx="1">
                  <c:v>35</c:v>
                </c:pt>
                <c:pt idx="2">
                  <c:v>38</c:v>
                </c:pt>
                <c:pt idx="3">
                  <c:v>24</c:v>
                </c:pt>
                <c:pt idx="4">
                  <c:v>33</c:v>
                </c:pt>
                <c:pt idx="5">
                  <c:v>30</c:v>
                </c:pt>
                <c:pt idx="6">
                  <c:v>26</c:v>
                </c:pt>
                <c:pt idx="7">
                  <c:v>23</c:v>
                </c:pt>
                <c:pt idx="8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C8-4D90-9C69-516FDAA92588}"/>
            </c:ext>
          </c:extLst>
        </c:ser>
        <c:ser>
          <c:idx val="1"/>
          <c:order val="1"/>
          <c:tx>
            <c:strRef>
              <c:f>Hoja5!$D$20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C00000"/>
              </a:solidFill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Hoja5!$D$21:$D$29</c:f>
              <c:numCache>
                <c:formatCode>General</c:formatCode>
                <c:ptCount val="9"/>
                <c:pt idx="0">
                  <c:v>184</c:v>
                </c:pt>
                <c:pt idx="1">
                  <c:v>46</c:v>
                </c:pt>
                <c:pt idx="2">
                  <c:v>42</c:v>
                </c:pt>
                <c:pt idx="3">
                  <c:v>57</c:v>
                </c:pt>
                <c:pt idx="4">
                  <c:v>60</c:v>
                </c:pt>
                <c:pt idx="5">
                  <c:v>31</c:v>
                </c:pt>
                <c:pt idx="6">
                  <c:v>17</c:v>
                </c:pt>
                <c:pt idx="7">
                  <c:v>24</c:v>
                </c:pt>
                <c:pt idx="8">
                  <c:v>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C8-4D90-9C69-516FDAA92588}"/>
            </c:ext>
          </c:extLst>
        </c:ser>
        <c:ser>
          <c:idx val="2"/>
          <c:order val="2"/>
          <c:tx>
            <c:strRef>
              <c:f>Hoja5!$E$20</c:f>
              <c:strCache>
                <c:ptCount val="1"/>
                <c:pt idx="0">
                  <c:v>Marzo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Hoja5!$E$21:$E$29</c:f>
              <c:numCache>
                <c:formatCode>General</c:formatCode>
                <c:ptCount val="9"/>
                <c:pt idx="0">
                  <c:v>327</c:v>
                </c:pt>
                <c:pt idx="1">
                  <c:v>76</c:v>
                </c:pt>
                <c:pt idx="2">
                  <c:v>38</c:v>
                </c:pt>
                <c:pt idx="3">
                  <c:v>42</c:v>
                </c:pt>
                <c:pt idx="4">
                  <c:v>33</c:v>
                </c:pt>
                <c:pt idx="5">
                  <c:v>41</c:v>
                </c:pt>
                <c:pt idx="6">
                  <c:v>24</c:v>
                </c:pt>
                <c:pt idx="7">
                  <c:v>19</c:v>
                </c:pt>
                <c:pt idx="8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C8-4D90-9C69-516FDAA92588}"/>
            </c:ext>
          </c:extLst>
        </c:ser>
        <c:ser>
          <c:idx val="3"/>
          <c:order val="3"/>
          <c:tx>
            <c:strRef>
              <c:f>Hoja5!$F$20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Hoja5!$F$21:$F$29</c:f>
              <c:numCache>
                <c:formatCode>General</c:formatCode>
                <c:ptCount val="9"/>
                <c:pt idx="0">
                  <c:v>305</c:v>
                </c:pt>
                <c:pt idx="1">
                  <c:v>67</c:v>
                </c:pt>
                <c:pt idx="2">
                  <c:v>55</c:v>
                </c:pt>
                <c:pt idx="3">
                  <c:v>55</c:v>
                </c:pt>
                <c:pt idx="4">
                  <c:v>47</c:v>
                </c:pt>
                <c:pt idx="5">
                  <c:v>37</c:v>
                </c:pt>
                <c:pt idx="6">
                  <c:v>16</c:v>
                </c:pt>
                <c:pt idx="7">
                  <c:v>26</c:v>
                </c:pt>
                <c:pt idx="8">
                  <c:v>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C8-4D90-9C69-516FDAA92588}"/>
            </c:ext>
          </c:extLst>
        </c:ser>
        <c:ser>
          <c:idx val="4"/>
          <c:order val="4"/>
          <c:tx>
            <c:strRef>
              <c:f>Hoja5!$G$20</c:f>
              <c:strCache>
                <c:ptCount val="1"/>
                <c:pt idx="0">
                  <c:v>mayo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Hoja5!$G$21:$G$29</c:f>
              <c:numCache>
                <c:formatCode>General</c:formatCode>
                <c:ptCount val="9"/>
                <c:pt idx="0">
                  <c:v>327</c:v>
                </c:pt>
                <c:pt idx="1">
                  <c:v>60</c:v>
                </c:pt>
                <c:pt idx="2">
                  <c:v>47</c:v>
                </c:pt>
                <c:pt idx="3">
                  <c:v>87</c:v>
                </c:pt>
                <c:pt idx="4">
                  <c:v>64</c:v>
                </c:pt>
                <c:pt idx="5">
                  <c:v>59</c:v>
                </c:pt>
                <c:pt idx="6">
                  <c:v>31</c:v>
                </c:pt>
                <c:pt idx="7">
                  <c:v>24</c:v>
                </c:pt>
                <c:pt idx="8">
                  <c:v>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C8-4D90-9C69-516FDAA92588}"/>
            </c:ext>
          </c:extLst>
        </c:ser>
        <c:ser>
          <c:idx val="5"/>
          <c:order val="5"/>
          <c:tx>
            <c:strRef>
              <c:f>Hoja5!$H$20</c:f>
              <c:strCache>
                <c:ptCount val="1"/>
                <c:pt idx="0">
                  <c:v>Junio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Hoja5!$H$21:$H$29</c:f>
              <c:numCache>
                <c:formatCode>General</c:formatCode>
                <c:ptCount val="9"/>
                <c:pt idx="0">
                  <c:v>214</c:v>
                </c:pt>
                <c:pt idx="1">
                  <c:v>75</c:v>
                </c:pt>
                <c:pt idx="2">
                  <c:v>56</c:v>
                </c:pt>
                <c:pt idx="3">
                  <c:v>57</c:v>
                </c:pt>
                <c:pt idx="4">
                  <c:v>62</c:v>
                </c:pt>
                <c:pt idx="5">
                  <c:v>50</c:v>
                </c:pt>
                <c:pt idx="6">
                  <c:v>48</c:v>
                </c:pt>
                <c:pt idx="7">
                  <c:v>17</c:v>
                </c:pt>
                <c:pt idx="8">
                  <c:v>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9C8-4D90-9C69-516FDAA92588}"/>
            </c:ext>
          </c:extLst>
        </c:ser>
        <c:ser>
          <c:idx val="6"/>
          <c:order val="6"/>
          <c:tx>
            <c:strRef>
              <c:f>Hoja5!$I$20</c:f>
              <c:strCache>
                <c:ptCount val="1"/>
                <c:pt idx="0">
                  <c:v>Julio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Hoja5!$I$21:$I$29</c:f>
              <c:numCache>
                <c:formatCode>General</c:formatCode>
                <c:ptCount val="9"/>
                <c:pt idx="0">
                  <c:v>198</c:v>
                </c:pt>
                <c:pt idx="1">
                  <c:v>49</c:v>
                </c:pt>
                <c:pt idx="2">
                  <c:v>43</c:v>
                </c:pt>
                <c:pt idx="3">
                  <c:v>57</c:v>
                </c:pt>
                <c:pt idx="4">
                  <c:v>42</c:v>
                </c:pt>
                <c:pt idx="5">
                  <c:v>42</c:v>
                </c:pt>
                <c:pt idx="6">
                  <c:v>27</c:v>
                </c:pt>
                <c:pt idx="7">
                  <c:v>20</c:v>
                </c:pt>
                <c:pt idx="8">
                  <c:v>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9C8-4D90-9C69-516FDAA92588}"/>
            </c:ext>
          </c:extLst>
        </c:ser>
        <c:ser>
          <c:idx val="7"/>
          <c:order val="7"/>
          <c:tx>
            <c:strRef>
              <c:f>Hoja5!$J$20</c:f>
              <c:strCache>
                <c:ptCount val="1"/>
                <c:pt idx="0">
                  <c:v>Agosto 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Hoja5!$J$21:$J$29</c:f>
              <c:numCache>
                <c:formatCode>General</c:formatCode>
                <c:ptCount val="9"/>
                <c:pt idx="0">
                  <c:v>277</c:v>
                </c:pt>
                <c:pt idx="1">
                  <c:v>92</c:v>
                </c:pt>
                <c:pt idx="2">
                  <c:v>75</c:v>
                </c:pt>
                <c:pt idx="3">
                  <c:v>73</c:v>
                </c:pt>
                <c:pt idx="4">
                  <c:v>60</c:v>
                </c:pt>
                <c:pt idx="5">
                  <c:v>71</c:v>
                </c:pt>
                <c:pt idx="6">
                  <c:v>50</c:v>
                </c:pt>
                <c:pt idx="7">
                  <c:v>46</c:v>
                </c:pt>
                <c:pt idx="8">
                  <c:v>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9C8-4D90-9C69-516FDAA92588}"/>
            </c:ext>
          </c:extLst>
        </c:ser>
        <c:ser>
          <c:idx val="8"/>
          <c:order val="8"/>
          <c:tx>
            <c:strRef>
              <c:f>Hoja5!$K$20</c:f>
              <c:strCache>
                <c:ptCount val="1"/>
                <c:pt idx="0">
                  <c:v>Septiembre 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Hoja5!$K$21:$K$29</c:f>
              <c:numCache>
                <c:formatCode>General</c:formatCode>
                <c:ptCount val="9"/>
                <c:pt idx="0">
                  <c:v>339</c:v>
                </c:pt>
                <c:pt idx="1">
                  <c:v>137</c:v>
                </c:pt>
                <c:pt idx="2">
                  <c:v>146</c:v>
                </c:pt>
                <c:pt idx="3">
                  <c:v>80</c:v>
                </c:pt>
                <c:pt idx="4">
                  <c:v>90</c:v>
                </c:pt>
                <c:pt idx="5">
                  <c:v>91</c:v>
                </c:pt>
                <c:pt idx="6">
                  <c:v>82</c:v>
                </c:pt>
                <c:pt idx="7">
                  <c:v>45</c:v>
                </c:pt>
                <c:pt idx="8">
                  <c:v>1010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9C8-4D90-9C69-516FDAA92588}"/>
            </c:ext>
          </c:extLst>
        </c:ser>
        <c:ser>
          <c:idx val="9"/>
          <c:order val="9"/>
          <c:tx>
            <c:strRef>
              <c:f>Hoja5!$L$20</c:f>
              <c:strCache>
                <c:ptCount val="1"/>
                <c:pt idx="0">
                  <c:v>Octubre 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Hoja5!$L$21:$L$29</c:f>
              <c:numCache>
                <c:formatCode>General</c:formatCode>
                <c:ptCount val="9"/>
                <c:pt idx="0">
                  <c:v>243</c:v>
                </c:pt>
                <c:pt idx="1">
                  <c:v>86</c:v>
                </c:pt>
                <c:pt idx="2">
                  <c:v>89</c:v>
                </c:pt>
                <c:pt idx="3">
                  <c:v>86</c:v>
                </c:pt>
                <c:pt idx="4">
                  <c:v>99</c:v>
                </c:pt>
                <c:pt idx="5">
                  <c:v>56</c:v>
                </c:pt>
                <c:pt idx="6">
                  <c:v>58</c:v>
                </c:pt>
                <c:pt idx="7">
                  <c:v>35</c:v>
                </c:pt>
                <c:pt idx="8">
                  <c:v>752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9C8-4D90-9C69-516FDAA92588}"/>
            </c:ext>
          </c:extLst>
        </c:ser>
        <c:ser>
          <c:idx val="10"/>
          <c:order val="10"/>
          <c:tx>
            <c:strRef>
              <c:f>Hoja5!$M$20</c:f>
              <c:strCache>
                <c:ptCount val="1"/>
                <c:pt idx="0">
                  <c:v>Noviembre 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Hoja5!$M$21:$M$29</c:f>
              <c:numCache>
                <c:formatCode>General</c:formatCode>
                <c:ptCount val="9"/>
                <c:pt idx="0">
                  <c:v>202</c:v>
                </c:pt>
                <c:pt idx="1">
                  <c:v>49</c:v>
                </c:pt>
                <c:pt idx="2">
                  <c:v>25</c:v>
                </c:pt>
                <c:pt idx="3">
                  <c:v>37</c:v>
                </c:pt>
                <c:pt idx="4">
                  <c:v>40</c:v>
                </c:pt>
                <c:pt idx="5">
                  <c:v>31</c:v>
                </c:pt>
                <c:pt idx="6">
                  <c:v>37</c:v>
                </c:pt>
                <c:pt idx="7">
                  <c:v>14</c:v>
                </c:pt>
                <c:pt idx="8">
                  <c:v>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9C8-4D90-9C69-516FDAA925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315296"/>
        <c:axId val="277062368"/>
      </c:barChart>
      <c:catAx>
        <c:axId val="27531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7062368"/>
        <c:crosses val="autoZero"/>
        <c:auto val="1"/>
        <c:lblAlgn val="ctr"/>
        <c:lblOffset val="100"/>
        <c:noMultiLvlLbl val="0"/>
      </c:catAx>
      <c:valAx>
        <c:axId val="27706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531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477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Acumulado:435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Acumulado:477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68C3B8C-4289-4BE9-98A5-839E29871A40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9EEB04-B01F-4C07-8E50-88859FA7BE58}" type="parTrans" cxnId="{F325F81F-CCB8-4D0A-8288-2BE51EDB0780}">
      <dgm:prSet/>
      <dgm:spPr/>
      <dgm:t>
        <a:bodyPr/>
        <a:lstStyle/>
        <a:p>
          <a:endParaRPr lang="es-ES"/>
        </a:p>
      </dgm:t>
    </dgm:pt>
    <dgm:pt modelId="{2CEB2BF3-940F-4036-94F4-9FD7930E9CD1}" type="sibTrans" cxnId="{F325F81F-CCB8-4D0A-8288-2BE51EDB0780}">
      <dgm:prSet/>
      <dgm:spPr/>
      <dgm:t>
        <a:bodyPr/>
        <a:lstStyle/>
        <a:p>
          <a:endParaRPr lang="es-ES"/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F325F81F-CCB8-4D0A-8288-2BE51EDB0780}" srcId="{858CFB1C-108B-460C-B456-0D0BFA519988}" destId="{968C3B8C-4289-4BE9-98A5-839E29871A40}" srcOrd="1" destOrd="0" parTransId="{E99EEB04-B01F-4C07-8E50-88859FA7BE58}" sibTransId="{2CEB2BF3-940F-4036-94F4-9FD7930E9CD1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324B575F-6BEC-44B8-B8B1-126F3BB4FCA1}" type="presOf" srcId="{968C3B8C-4289-4BE9-98A5-839E29871A40}" destId="{F9CBDA24-6466-4970-BEFD-0C117089F9F4}" srcOrd="0" destOrd="2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477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Acumulado:435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Acumulado:477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0.12417</cdr:x>
      <cdr:y>0.02084</cdr:y>
    </cdr:from>
    <cdr:to>
      <cdr:x>0.90125</cdr:x>
      <cdr:y>0.17015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823141" y="64186"/>
          <a:ext cx="5151574" cy="4599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200" b="1"/>
            <a:t>COVID -19 DISTRIBUCION</a:t>
          </a:r>
          <a:r>
            <a:rPr lang="es-NI" sz="1200" b="1" baseline="0"/>
            <a:t> PORCENTUAL DE CASOS X MUNICIPIOS NOVIEMBRE</a:t>
          </a:r>
          <a:endParaRPr lang="es-NI" sz="12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11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81</cp:revision>
  <dcterms:created xsi:type="dcterms:W3CDTF">2022-08-16T20:24:00Z</dcterms:created>
  <dcterms:modified xsi:type="dcterms:W3CDTF">2022-08-18T00:55:00Z</dcterms:modified>
</cp:coreProperties>
</file>