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391EF057" w:rsidR="003B42D8" w:rsidRDefault="00121EA1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4527E018" wp14:editId="3BB46B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25D00A11" w:rsidR="00C4004E" w:rsidRDefault="00C4004E"/>
    <w:p w14:paraId="79B21CA2" w14:textId="506211AD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A3D3FBC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730C746C" w14:textId="77777777" w:rsidR="00A80F5D" w:rsidRPr="00F434A3" w:rsidRDefault="00A80F5D" w:rsidP="00A80F5D">
      <w:pPr>
        <w:jc w:val="center"/>
        <w:rPr>
          <w:rFonts w:ascii="Imprint MT Shadow" w:hAnsi="Imprint MT Shadow"/>
          <w:b/>
          <w:sz w:val="52"/>
          <w:szCs w:val="52"/>
        </w:rPr>
      </w:pPr>
      <w:r>
        <w:rPr>
          <w:rFonts w:ascii="Imprint MT Shadow" w:hAnsi="Imprint MT Shadow"/>
          <w:b/>
          <w:sz w:val="52"/>
          <w:szCs w:val="52"/>
        </w:rPr>
        <w:t>M</w:t>
      </w:r>
      <w:r w:rsidRPr="00F434A3">
        <w:rPr>
          <w:rFonts w:ascii="Imprint MT Shadow" w:hAnsi="Imprint MT Shadow"/>
          <w:b/>
          <w:sz w:val="52"/>
          <w:szCs w:val="52"/>
        </w:rPr>
        <w:t xml:space="preserve">INISTERIO DE SALUD. </w:t>
      </w:r>
    </w:p>
    <w:p w14:paraId="3FDB3B16" w14:textId="77777777" w:rsidR="00A80F5D" w:rsidRPr="00F434A3" w:rsidRDefault="00A80F5D" w:rsidP="00A80F5D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2BED3DF" w:rsidR="00C4004E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>Análisis COVID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-19 </w:t>
      </w:r>
      <w:r w:rsidR="00C4004E">
        <w:rPr>
          <w:rFonts w:ascii="Arial" w:hAnsi="Arial" w:cs="Arial"/>
          <w:b/>
          <w:bCs/>
          <w:sz w:val="44"/>
          <w:lang w:val="es-ES"/>
        </w:rPr>
        <w:br/>
      </w:r>
      <w:r w:rsidR="00502162">
        <w:rPr>
          <w:rFonts w:ascii="Arial" w:hAnsi="Arial" w:cs="Arial"/>
          <w:b/>
          <w:bCs/>
          <w:sz w:val="44"/>
          <w:lang w:val="es-ES"/>
        </w:rPr>
        <w:t>Mayo</w:t>
      </w:r>
      <w:r>
        <w:rPr>
          <w:rFonts w:ascii="Arial" w:hAnsi="Arial" w:cs="Arial"/>
          <w:b/>
          <w:bCs/>
          <w:sz w:val="44"/>
          <w:lang w:val="es-ES"/>
        </w:rPr>
        <w:t xml:space="preserve"> A</w:t>
      </w:r>
      <w:r w:rsidR="00DD393B">
        <w:rPr>
          <w:rFonts w:ascii="Arial" w:hAnsi="Arial" w:cs="Arial"/>
          <w:b/>
          <w:bCs/>
          <w:sz w:val="44"/>
          <w:lang w:val="es-ES"/>
        </w:rPr>
        <w:t>ño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9F3C4B5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20DFC63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2D9840C0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4F8D6F9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195BE467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3D795CC9" w14:textId="77777777" w:rsidR="00C4004E" w:rsidRDefault="00C4004E" w:rsidP="00C4004E">
      <w:pPr>
        <w:jc w:val="center"/>
      </w:pPr>
    </w:p>
    <w:p w14:paraId="58768B8A" w14:textId="77777777" w:rsidR="00A80F5D" w:rsidRDefault="00A80F5D" w:rsidP="00C4004E">
      <w:pPr>
        <w:jc w:val="center"/>
      </w:pPr>
    </w:p>
    <w:p w14:paraId="45AAA981" w14:textId="77777777" w:rsidR="00121EA1" w:rsidRDefault="00121EA1" w:rsidP="00C4004E">
      <w:pPr>
        <w:jc w:val="center"/>
        <w:rPr>
          <w:noProof/>
          <w:lang w:val="es-NI" w:eastAsia="es-NI"/>
        </w:rPr>
      </w:pPr>
    </w:p>
    <w:p w14:paraId="73E953EC" w14:textId="586B4568" w:rsidR="00C4004E" w:rsidRDefault="00121EA1" w:rsidP="00C4004E">
      <w:pPr>
        <w:jc w:val="center"/>
      </w:pPr>
      <w:r w:rsidRPr="0062242E">
        <w:rPr>
          <w:noProof/>
          <w:lang w:val="es-NI" w:eastAsia="es-NI"/>
        </w:rPr>
        <w:drawing>
          <wp:inline distT="0" distB="0" distL="0" distR="0" wp14:anchorId="26529CA5" wp14:editId="5589F95F">
            <wp:extent cx="6371436" cy="84709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2" cy="8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56D41116" w:rsidR="00C4004E" w:rsidRDefault="00C4004E" w:rsidP="00C4004E">
      <w:pPr>
        <w:jc w:val="center"/>
      </w:pPr>
    </w:p>
    <w:p w14:paraId="5985AE51" w14:textId="35837A9A" w:rsidR="00C4004E" w:rsidRDefault="00A80F5D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10032856" wp14:editId="42A8141E">
            <wp:extent cx="4848225" cy="7277100"/>
            <wp:effectExtent l="0" t="0" r="9525" b="0"/>
            <wp:docPr id="4" name="Diagrama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08CF2A24" w14:textId="77777777" w:rsidR="00A80F5D" w:rsidRDefault="00A80F5D" w:rsidP="00F33283">
      <w:pPr>
        <w:rPr>
          <w:rFonts w:cs="Courier New"/>
          <w:b/>
          <w:sz w:val="28"/>
          <w:szCs w:val="28"/>
          <w:lang w:val="es-NI"/>
        </w:rPr>
      </w:pPr>
    </w:p>
    <w:p w14:paraId="334DD83A" w14:textId="42CB6BE9" w:rsidR="00F33283" w:rsidRPr="002A4D7F" w:rsidRDefault="00871AA9" w:rsidP="00F33283">
      <w:pPr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lastRenderedPageBreak/>
        <w:t xml:space="preserve">    </w:t>
      </w:r>
      <w:r w:rsidR="00F33283" w:rsidRPr="002A4D7F">
        <w:rPr>
          <w:rFonts w:cs="Courier New"/>
          <w:b/>
          <w:sz w:val="28"/>
          <w:szCs w:val="28"/>
          <w:lang w:val="es-NI"/>
        </w:rPr>
        <w:t>Situación de la e</w:t>
      </w:r>
      <w:r w:rsidR="00E77A8E" w:rsidRPr="002A4D7F">
        <w:rPr>
          <w:rFonts w:cs="Courier New"/>
          <w:b/>
          <w:sz w:val="28"/>
          <w:szCs w:val="28"/>
          <w:lang w:val="es-NI"/>
        </w:rPr>
        <w:t>pidemia de COVID-19 en Matagalpa</w:t>
      </w:r>
    </w:p>
    <w:p w14:paraId="40CE1059" w14:textId="77777777" w:rsidR="00E77A8E" w:rsidRPr="002A4D7F" w:rsidRDefault="00E77A8E" w:rsidP="00F33283">
      <w:pPr>
        <w:rPr>
          <w:rFonts w:cs="Courier New"/>
          <w:b/>
          <w:sz w:val="28"/>
          <w:szCs w:val="28"/>
          <w:lang w:val="es-NI"/>
        </w:rPr>
      </w:pPr>
    </w:p>
    <w:p w14:paraId="1342A54A" w14:textId="4D283E8F" w:rsidR="006B0CCB" w:rsidRDefault="004E7A43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1BF4BFDB" wp14:editId="569B91F5">
            <wp:extent cx="6038850" cy="26955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45606B7A" w14:textId="122D098A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el </w:t>
      </w:r>
      <w:r w:rsidR="005E79BD">
        <w:rPr>
          <w:rFonts w:cs="Courier New"/>
          <w:sz w:val="28"/>
          <w:szCs w:val="28"/>
          <w:lang w:val="es-NI"/>
        </w:rPr>
        <w:t>mes de mayo</w:t>
      </w:r>
      <w:r w:rsidR="00E77A8E" w:rsidRPr="002A4D7F">
        <w:rPr>
          <w:rFonts w:cs="Courier New"/>
          <w:sz w:val="28"/>
          <w:szCs w:val="28"/>
          <w:lang w:val="es-NI"/>
        </w:rPr>
        <w:t xml:space="preserve"> del año </w:t>
      </w:r>
      <w:r w:rsidRPr="002A4D7F">
        <w:rPr>
          <w:rFonts w:cs="Courier New"/>
          <w:sz w:val="28"/>
          <w:szCs w:val="28"/>
          <w:lang w:val="es-NI"/>
        </w:rPr>
        <w:t xml:space="preserve">del 2021, </w:t>
      </w:r>
      <w:r w:rsidR="00E77A8E" w:rsidRPr="002A4D7F">
        <w:rPr>
          <w:rFonts w:cs="Courier New"/>
          <w:sz w:val="28"/>
          <w:szCs w:val="28"/>
          <w:lang w:val="es-NI"/>
        </w:rPr>
        <w:t xml:space="preserve">ya en el segundo año de </w:t>
      </w:r>
      <w:r w:rsidRPr="002A4D7F">
        <w:rPr>
          <w:rFonts w:cs="Courier New"/>
          <w:sz w:val="28"/>
          <w:szCs w:val="28"/>
          <w:lang w:val="es-NI"/>
        </w:rPr>
        <w:t>la pandemia</w:t>
      </w:r>
      <w:r w:rsidR="001500EF" w:rsidRPr="002A4D7F">
        <w:rPr>
          <w:rFonts w:cs="Courier New"/>
          <w:sz w:val="28"/>
          <w:szCs w:val="28"/>
          <w:lang w:val="es-NI"/>
        </w:rPr>
        <w:t xml:space="preserve">, </w:t>
      </w:r>
      <w:r w:rsidR="002505A5">
        <w:rPr>
          <w:rFonts w:cs="Courier New"/>
          <w:sz w:val="28"/>
          <w:szCs w:val="28"/>
          <w:lang w:val="es-NI"/>
        </w:rPr>
        <w:t>observamos que hay un increme</w:t>
      </w:r>
      <w:r w:rsidR="005254D4">
        <w:rPr>
          <w:rFonts w:cs="Courier New"/>
          <w:sz w:val="28"/>
          <w:szCs w:val="28"/>
          <w:lang w:val="es-NI"/>
        </w:rPr>
        <w:t xml:space="preserve">nto </w:t>
      </w:r>
      <w:r w:rsidR="009560F1">
        <w:rPr>
          <w:rFonts w:cs="Courier New"/>
          <w:sz w:val="28"/>
          <w:szCs w:val="28"/>
          <w:lang w:val="es-NI"/>
        </w:rPr>
        <w:t>considerable</w:t>
      </w:r>
      <w:r w:rsidR="005E79BD">
        <w:rPr>
          <w:rFonts w:cs="Courier New"/>
          <w:sz w:val="28"/>
          <w:szCs w:val="28"/>
          <w:lang w:val="es-NI"/>
        </w:rPr>
        <w:t xml:space="preserve"> en las semanas correspondientes al mes de mayo con respecto a todas las semanas anteriores del año 2021.En el mes de mayo se registran un total de 78 casos.</w:t>
      </w:r>
      <w:r w:rsidRPr="002A4D7F">
        <w:rPr>
          <w:rFonts w:cs="Courier New"/>
          <w:sz w:val="28"/>
          <w:szCs w:val="28"/>
          <w:lang w:val="es-NI"/>
        </w:rPr>
        <w:t xml:space="preserve"> </w:t>
      </w:r>
    </w:p>
    <w:p w14:paraId="3F8568AD" w14:textId="77777777" w:rsidR="009560F1" w:rsidRPr="009560F1" w:rsidRDefault="009560F1" w:rsidP="009560F1">
      <w:pPr>
        <w:jc w:val="both"/>
        <w:rPr>
          <w:rFonts w:cs="Courier New"/>
          <w:sz w:val="28"/>
          <w:szCs w:val="28"/>
          <w:lang w:val="es-NI"/>
        </w:rPr>
      </w:pPr>
      <w:r w:rsidRPr="009560F1">
        <w:rPr>
          <w:rFonts w:cs="Courier New"/>
          <w:sz w:val="28"/>
          <w:szCs w:val="28"/>
          <w:lang w:val="es-NI"/>
        </w:rPr>
        <w:t xml:space="preserve">Se observa según la curva epidémica que las primeras 16 semanas del año fueron de control epidemiológico, posteriormente se inició a observar una segunda ola viral al darse trasmisión en nuevos grupos de población susceptible. </w:t>
      </w:r>
    </w:p>
    <w:p w14:paraId="7C0D91C2" w14:textId="29F5BA74" w:rsidR="009560F1" w:rsidRPr="009560F1" w:rsidRDefault="009560F1" w:rsidP="009560F1">
      <w:pPr>
        <w:jc w:val="both"/>
        <w:rPr>
          <w:rFonts w:cs="Courier New"/>
          <w:sz w:val="28"/>
          <w:szCs w:val="28"/>
          <w:lang w:val="es-NI"/>
        </w:rPr>
      </w:pPr>
      <w:r w:rsidRPr="009560F1">
        <w:rPr>
          <w:rFonts w:cs="Courier New"/>
          <w:sz w:val="28"/>
          <w:szCs w:val="28"/>
          <w:lang w:val="es-NI"/>
        </w:rPr>
        <w:t xml:space="preserve">El </w:t>
      </w:r>
      <w:r>
        <w:rPr>
          <w:rFonts w:cs="Courier New"/>
          <w:sz w:val="28"/>
          <w:szCs w:val="28"/>
          <w:lang w:val="es-NI"/>
        </w:rPr>
        <w:t>comportamiento en las últimas 5</w:t>
      </w:r>
      <w:r w:rsidRPr="009560F1">
        <w:rPr>
          <w:rFonts w:cs="Courier New"/>
          <w:sz w:val="28"/>
          <w:szCs w:val="28"/>
          <w:lang w:val="es-NI"/>
        </w:rPr>
        <w:t xml:space="preserve"> semanas fue de un ascenso de casos que no llegó a la misma incidencia de casos al compararlo con la curva del año 2020.</w:t>
      </w:r>
    </w:p>
    <w:p w14:paraId="11693056" w14:textId="1DF0292E" w:rsidR="003B50D3" w:rsidRPr="004E7A43" w:rsidRDefault="003B50D3" w:rsidP="003B50D3">
      <w:pPr>
        <w:jc w:val="both"/>
        <w:rPr>
          <w:rFonts w:cs="Courier New"/>
          <w:sz w:val="28"/>
          <w:szCs w:val="28"/>
          <w:lang w:val="es-NI"/>
        </w:rPr>
      </w:pPr>
    </w:p>
    <w:p w14:paraId="0B701256" w14:textId="5DD13751" w:rsidR="003B50D3" w:rsidRPr="004E7A43" w:rsidRDefault="003B50D3" w:rsidP="003B50D3">
      <w:pPr>
        <w:jc w:val="both"/>
        <w:rPr>
          <w:rFonts w:cs="Courier New"/>
          <w:sz w:val="28"/>
          <w:szCs w:val="28"/>
          <w:lang w:val="es-MX"/>
        </w:rPr>
      </w:pPr>
      <w:r w:rsidRPr="004E7A43">
        <w:rPr>
          <w:rFonts w:cs="Courier New"/>
          <w:sz w:val="28"/>
          <w:szCs w:val="28"/>
          <w:lang w:val="es-MX"/>
        </w:rPr>
        <w:t xml:space="preserve">En general se tuvo una positividad de detección del coronavirus en </w:t>
      </w:r>
      <w:r w:rsidR="004E7A43" w:rsidRPr="004E7A43">
        <w:rPr>
          <w:rFonts w:cs="Courier New"/>
          <w:sz w:val="28"/>
          <w:szCs w:val="28"/>
          <w:lang w:val="es-MX"/>
        </w:rPr>
        <w:t>un 3.2</w:t>
      </w:r>
      <w:r w:rsidR="001500EF" w:rsidRPr="004E7A43">
        <w:rPr>
          <w:rFonts w:cs="Courier New"/>
          <w:sz w:val="28"/>
          <w:szCs w:val="28"/>
          <w:lang w:val="es-MX"/>
        </w:rPr>
        <w:t>%</w:t>
      </w:r>
      <w:r w:rsidR="004E7A43" w:rsidRPr="004E7A43">
        <w:rPr>
          <w:rFonts w:cs="Courier New"/>
          <w:sz w:val="28"/>
          <w:szCs w:val="28"/>
          <w:lang w:val="es-MX"/>
        </w:rPr>
        <w:t xml:space="preserve">. </w:t>
      </w:r>
    </w:p>
    <w:p w14:paraId="657C1E78" w14:textId="77777777" w:rsidR="00F33283" w:rsidRPr="004E7A43" w:rsidRDefault="00F33283" w:rsidP="003B50D3">
      <w:pPr>
        <w:jc w:val="both"/>
        <w:rPr>
          <w:rFonts w:cs="Courier New"/>
          <w:sz w:val="28"/>
          <w:szCs w:val="28"/>
          <w:lang w:val="es-MX"/>
        </w:rPr>
      </w:pPr>
    </w:p>
    <w:p w14:paraId="65A9C865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381D7988" w14:textId="77777777" w:rsidR="00F31195" w:rsidRDefault="00F31195" w:rsidP="003B50D3">
      <w:pPr>
        <w:jc w:val="both"/>
        <w:rPr>
          <w:rFonts w:ascii="Arial" w:hAnsi="Arial" w:cs="Arial"/>
          <w:sz w:val="24"/>
          <w:lang w:val="es-NI"/>
        </w:rPr>
      </w:pPr>
    </w:p>
    <w:p w14:paraId="43A5DE0B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D442456" w14:textId="2727D0D5" w:rsidR="00E901D2" w:rsidRDefault="00B24B20" w:rsidP="00592509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3D83481B" wp14:editId="1C05809B">
            <wp:extent cx="6200775" cy="39338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32D700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35998248" w14:textId="3A18B0E4" w:rsidR="007A1F2D" w:rsidRPr="004E7A43" w:rsidRDefault="007A1F2D" w:rsidP="007A1F2D">
      <w:pPr>
        <w:jc w:val="both"/>
        <w:rPr>
          <w:rFonts w:cs="Courier New"/>
          <w:sz w:val="28"/>
          <w:szCs w:val="28"/>
          <w:lang w:val="es-NI"/>
        </w:rPr>
      </w:pPr>
      <w:r w:rsidRPr="004E7A43">
        <w:rPr>
          <w:rFonts w:cs="Courier New"/>
          <w:sz w:val="28"/>
          <w:szCs w:val="28"/>
          <w:lang w:val="es-NI"/>
        </w:rPr>
        <w:t>El mayor porcentaje de</w:t>
      </w:r>
      <w:r w:rsidR="004E7A43" w:rsidRPr="004E7A43">
        <w:rPr>
          <w:rFonts w:cs="Courier New"/>
          <w:sz w:val="28"/>
          <w:szCs w:val="28"/>
          <w:lang w:val="es-NI"/>
        </w:rPr>
        <w:t xml:space="preserve"> casos se presentó en los municipios</w:t>
      </w:r>
      <w:r w:rsidRPr="004E7A43">
        <w:rPr>
          <w:rFonts w:cs="Courier New"/>
          <w:sz w:val="28"/>
          <w:szCs w:val="28"/>
          <w:lang w:val="es-NI"/>
        </w:rPr>
        <w:t xml:space="preserve"> con mayor población y que tienen mayor movilidad poblacional por diversas actividades.</w:t>
      </w: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49345542" w:rsidR="00592509" w:rsidRPr="002A4D7F" w:rsidRDefault="00233164" w:rsidP="003B50D3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 mes de abril, 8</w:t>
      </w:r>
      <w:r w:rsidR="0081479B">
        <w:rPr>
          <w:rFonts w:cs="Courier New"/>
          <w:sz w:val="28"/>
          <w:szCs w:val="28"/>
          <w:lang w:val="es-NI"/>
        </w:rPr>
        <w:t xml:space="preserve"> </w:t>
      </w:r>
      <w:r w:rsidR="00F31195" w:rsidRPr="002A4D7F">
        <w:rPr>
          <w:rFonts w:cs="Courier New"/>
          <w:sz w:val="28"/>
          <w:szCs w:val="28"/>
          <w:lang w:val="es-NI"/>
        </w:rPr>
        <w:t>municipios</w:t>
      </w:r>
      <w:r>
        <w:rPr>
          <w:rFonts w:cs="Courier New"/>
          <w:sz w:val="28"/>
          <w:szCs w:val="28"/>
          <w:lang w:val="es-NI"/>
        </w:rPr>
        <w:t>, que equivale al 57</w:t>
      </w:r>
      <w:r w:rsidR="0081479B">
        <w:rPr>
          <w:rFonts w:cs="Courier New"/>
          <w:sz w:val="28"/>
          <w:szCs w:val="28"/>
          <w:lang w:val="es-NI"/>
        </w:rPr>
        <w:t xml:space="preserve">%, </w:t>
      </w:r>
      <w:r w:rsidR="0081479B" w:rsidRPr="002A4D7F">
        <w:rPr>
          <w:rFonts w:cs="Courier New"/>
          <w:sz w:val="28"/>
          <w:szCs w:val="28"/>
          <w:lang w:val="es-NI"/>
        </w:rPr>
        <w:t>registraron</w:t>
      </w:r>
      <w:r w:rsidR="00F31195" w:rsidRPr="002A4D7F">
        <w:rPr>
          <w:rFonts w:cs="Courier New"/>
          <w:sz w:val="28"/>
          <w:szCs w:val="28"/>
          <w:lang w:val="es-NI"/>
        </w:rPr>
        <w:t xml:space="preserve"> casos. </w:t>
      </w:r>
    </w:p>
    <w:p w14:paraId="4D17FA69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1A236F06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5C66F78E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7533F7E2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65B993D5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1B69409A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2FE00ED7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41A61F1A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1D040FD9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3FE0C4C9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2CEA1B67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2C2A03BA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62DDD115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72AAFCA6" w14:textId="77777777" w:rsidR="00902673" w:rsidRDefault="00902673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2BEE6FC7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lastRenderedPageBreak/>
        <w:t>Casos COVID-19 por grupos de edad y sexo</w:t>
      </w:r>
    </w:p>
    <w:p w14:paraId="2468425D" w14:textId="5FE08740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la distribución absoluta de los casos los grupos de edades más afectados fueron los adultos </w:t>
      </w:r>
      <w:r w:rsidR="00030FCC" w:rsidRPr="002A4D7F">
        <w:rPr>
          <w:rFonts w:cs="Courier New"/>
          <w:sz w:val="28"/>
          <w:szCs w:val="28"/>
          <w:lang w:val="es-NI"/>
        </w:rPr>
        <w:t>entre las edades de 20 a 49 años.</w:t>
      </w:r>
    </w:p>
    <w:p w14:paraId="0D27D9D3" w14:textId="41EE7573" w:rsidR="006A2241" w:rsidRPr="00295E0B" w:rsidRDefault="00E93425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41C97F6" wp14:editId="0DF2FA05">
            <wp:extent cx="5981700" cy="359092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788C52" w14:textId="52A7C167" w:rsidR="00F610A7" w:rsidRDefault="00F610A7" w:rsidP="00F610A7">
      <w:pPr>
        <w:rPr>
          <w:noProof/>
          <w:lang w:val="es-NI" w:eastAsia="es-NI"/>
        </w:rPr>
      </w:pPr>
    </w:p>
    <w:p w14:paraId="08B35DA5" w14:textId="5C3114FF" w:rsidR="00F31195" w:rsidRDefault="00206A3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t xml:space="preserve">  </w:t>
      </w:r>
      <w:r w:rsidR="00F31195">
        <w:rPr>
          <w:noProof/>
          <w:lang w:val="es-NI" w:eastAsia="es-NI"/>
        </w:rPr>
        <w:drawing>
          <wp:inline distT="0" distB="0" distL="0" distR="0" wp14:anchorId="10ECAD29" wp14:editId="0ADC2CC3">
            <wp:extent cx="5876925" cy="3648075"/>
            <wp:effectExtent l="0" t="0" r="9525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D83C63" w14:textId="199AB31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F272A1">
        <w:rPr>
          <w:rFonts w:cs="Courier New"/>
          <w:sz w:val="28"/>
          <w:szCs w:val="28"/>
          <w:lang w:val="es-NI"/>
        </w:rPr>
        <w:lastRenderedPageBreak/>
        <w:t xml:space="preserve">Entre los factores de riesgo que más frecuentemente se asociaron fueron las co-morbilidades con enfermedades crónicas no transmisibles, </w:t>
      </w:r>
      <w:r w:rsidR="00F31195" w:rsidRPr="00F272A1">
        <w:rPr>
          <w:rFonts w:cs="Courier New"/>
          <w:sz w:val="28"/>
          <w:szCs w:val="28"/>
          <w:lang w:val="es-NI"/>
        </w:rPr>
        <w:t>Diabetes mellitus, obesidad e hipertensión.</w:t>
      </w:r>
      <w:r w:rsidR="003F741E" w:rsidRPr="003F741E">
        <w:rPr>
          <w:noProof/>
          <w:lang w:val="es-NI" w:eastAsia="es-NI"/>
        </w:rPr>
        <w:t xml:space="preserve"> </w:t>
      </w:r>
    </w:p>
    <w:p w14:paraId="0391A492" w14:textId="4C1AD876" w:rsidR="00F610A7" w:rsidRPr="0097075D" w:rsidRDefault="00902673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CEF1589" wp14:editId="6EDBA8A4">
            <wp:extent cx="6332220" cy="4142105"/>
            <wp:effectExtent l="0" t="0" r="11430" b="1079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563193C" w14:textId="769BEE37" w:rsidR="00F610A7" w:rsidRDefault="00F610A7" w:rsidP="00F610A7">
      <w:pPr>
        <w:jc w:val="center"/>
        <w:rPr>
          <w:noProof/>
          <w:lang w:val="es-NI" w:eastAsia="es-NI"/>
        </w:rPr>
      </w:pP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15CAC8B4" w:rsidR="00F610A7" w:rsidRPr="00F272A1" w:rsidRDefault="00902673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 mes de mayo</w:t>
      </w:r>
      <w:r w:rsidR="00B11345">
        <w:rPr>
          <w:rFonts w:cs="Courier New"/>
          <w:sz w:val="28"/>
          <w:szCs w:val="28"/>
          <w:lang w:val="es-NI"/>
        </w:rPr>
        <w:t xml:space="preserve">, </w:t>
      </w:r>
      <w:r>
        <w:rPr>
          <w:rFonts w:cs="Courier New"/>
          <w:sz w:val="28"/>
          <w:szCs w:val="28"/>
          <w:lang w:val="es-NI"/>
        </w:rPr>
        <w:t xml:space="preserve">casi en similar </w:t>
      </w:r>
      <w:r w:rsidR="003F741E">
        <w:rPr>
          <w:rFonts w:cs="Courier New"/>
          <w:sz w:val="28"/>
          <w:szCs w:val="28"/>
          <w:lang w:val="es-NI"/>
        </w:rPr>
        <w:t xml:space="preserve">proporción se observa afectados ambos </w:t>
      </w:r>
      <w:r w:rsidR="00B11345">
        <w:rPr>
          <w:rFonts w:cs="Courier New"/>
          <w:sz w:val="28"/>
          <w:szCs w:val="28"/>
          <w:lang w:val="es-NI"/>
        </w:rPr>
        <w:t>sexo</w:t>
      </w:r>
      <w:r w:rsidR="003F741E">
        <w:rPr>
          <w:rFonts w:cs="Courier New"/>
          <w:sz w:val="28"/>
          <w:szCs w:val="28"/>
          <w:lang w:val="es-NI"/>
        </w:rPr>
        <w:t>s.</w:t>
      </w:r>
      <w:r w:rsidR="00F610A7" w:rsidRPr="00F272A1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632358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F3D2AC0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89E015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0A6F8C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A268F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A0DB6B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30E4C2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8B95A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3F8C2A5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94FF668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ACABAE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2A75901" w14:textId="77777777" w:rsidR="00E93425" w:rsidRDefault="00E93425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4E72D61B" w:rsidR="00F610A7" w:rsidRPr="00F610A7" w:rsidRDefault="00926ED8" w:rsidP="00F610A7">
      <w:pPr>
        <w:rPr>
          <w:sz w:val="10"/>
          <w:lang w:val="es-NI"/>
        </w:rPr>
      </w:pPr>
      <w:r>
        <w:rPr>
          <w:sz w:val="10"/>
          <w:lang w:val="es-NI"/>
        </w:rPr>
        <w:t xml:space="preserve">  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E93425" w:rsidRPr="00E93425" w14:paraId="62B582DA" w14:textId="77777777" w:rsidTr="00E93425">
        <w:trPr>
          <w:trHeight w:val="402"/>
        </w:trPr>
        <w:tc>
          <w:tcPr>
            <w:tcW w:w="1042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FCAD7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6"/>
                <w:szCs w:val="26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color w:val="000000"/>
                <w:sz w:val="26"/>
                <w:szCs w:val="26"/>
                <w:lang w:val="es-NI" w:eastAsia="es-NI"/>
              </w:rPr>
              <w:t>MINISTERIO DE SALUD. SILAIS  MATAGALPA</w:t>
            </w:r>
          </w:p>
        </w:tc>
      </w:tr>
      <w:tr w:rsidR="00E93425" w:rsidRPr="00E93425" w14:paraId="41309020" w14:textId="77777777" w:rsidTr="00E93425">
        <w:trPr>
          <w:trHeight w:val="402"/>
        </w:trPr>
        <w:tc>
          <w:tcPr>
            <w:tcW w:w="1042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9E2D9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6"/>
                <w:szCs w:val="26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color w:val="000000"/>
                <w:sz w:val="26"/>
                <w:szCs w:val="26"/>
                <w:lang w:val="es-NI" w:eastAsia="es-NI"/>
              </w:rPr>
              <w:t>TASAS POR COVID-19. POR MUNICIPIOS. HASTA MAYO 2021</w:t>
            </w:r>
          </w:p>
        </w:tc>
      </w:tr>
      <w:tr w:rsidR="00E93425" w:rsidRPr="00E93425" w14:paraId="08780694" w14:textId="77777777" w:rsidTr="00E93425">
        <w:trPr>
          <w:trHeight w:val="402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15E7AC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MUNICIPIO</w:t>
            </w:r>
          </w:p>
        </w:tc>
        <w:tc>
          <w:tcPr>
            <w:tcW w:w="81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14:paraId="0665BFB4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TASAS POR SEMANAS EPIDEMIOLOGICAS</w:t>
            </w:r>
          </w:p>
        </w:tc>
      </w:tr>
      <w:tr w:rsidR="00E93425" w:rsidRPr="00E93425" w14:paraId="66672D18" w14:textId="77777777" w:rsidTr="00E93425">
        <w:trPr>
          <w:trHeight w:val="402"/>
        </w:trPr>
        <w:tc>
          <w:tcPr>
            <w:tcW w:w="23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A1195A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2569DBC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FEE21DF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D96230E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3CBAF05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0631FA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0B81185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0850304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9D19947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8F21721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A6E1AC4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D059983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ADEF4EE" w14:textId="77777777" w:rsidR="00E93425" w:rsidRPr="00E93425" w:rsidRDefault="00E93425" w:rsidP="00E93425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21</w:t>
            </w:r>
          </w:p>
        </w:tc>
      </w:tr>
      <w:tr w:rsidR="00E93425" w:rsidRPr="00E93425" w14:paraId="5A8F4D5D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B5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Ciudad Darío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35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A1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82D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A4D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1A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9E0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67C8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29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A0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94D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49D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A568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</w:tr>
      <w:tr w:rsidR="00E93425" w:rsidRPr="00E93425" w14:paraId="49B97282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6A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Esquipulas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ED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D29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F3A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13F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01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23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E6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44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E3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89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C0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A8C6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2388F2CC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15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Matagalpa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CF8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6F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503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FA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68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17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9B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339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83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5CE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B201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9B10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0.37</w:t>
            </w:r>
          </w:p>
        </w:tc>
      </w:tr>
      <w:tr w:rsidR="00E93425" w:rsidRPr="00E93425" w14:paraId="518B9D4F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7C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Matiguás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11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BDB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FC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52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B7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FF2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E1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8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10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0E0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213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6D44E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0.24</w:t>
            </w:r>
          </w:p>
        </w:tc>
      </w:tr>
      <w:tr w:rsidR="00E93425" w:rsidRPr="00E93425" w14:paraId="622247CE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CBE5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Muy Muy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51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738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CD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5A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A0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03EF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CC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90D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A7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6BE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1.36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18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61A7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4AD6C8E8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E5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Rancho Grande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77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9C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7E2A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94D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2D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B2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639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C42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165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9F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0E4E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A44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24FD4943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932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Río Blanco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FA2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73B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A8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523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5AD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79A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0C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3B4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92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5B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90B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81A7F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0.32</w:t>
            </w:r>
          </w:p>
        </w:tc>
      </w:tr>
      <w:tr w:rsidR="00E93425" w:rsidRPr="00E93425" w14:paraId="0AF08E22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1FD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Dionisio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7C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27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60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EBD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5A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EC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174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DF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9D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B0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D2B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2D55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64D28308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622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Isidro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32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87E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58D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64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1E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691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537D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1F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B1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AD1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85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2.30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18ED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2.30</w:t>
            </w:r>
          </w:p>
        </w:tc>
      </w:tr>
      <w:tr w:rsidR="00E93425" w:rsidRPr="00E93425" w14:paraId="494F2681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66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Ramón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C2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44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941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45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2B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94C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F6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4419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E0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0B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EC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B4C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21408355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D42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Sébaco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A7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41E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7C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01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A2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F53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FF15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31B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A8F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8D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0.93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4F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1.55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E9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0.93</w:t>
            </w:r>
          </w:p>
        </w:tc>
      </w:tr>
      <w:tr w:rsidR="00E93425" w:rsidRPr="00E93425" w14:paraId="273D37DF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084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Terrabona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E2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90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AD0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56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B2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1F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7F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23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9D1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C3C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44F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4F4BA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55438CCC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79B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Waslala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E17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112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48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B1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59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FA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108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0F3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0DE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D0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13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0.20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B57F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color w:val="000000"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color w:val="000000"/>
                <w:sz w:val="22"/>
                <w:lang w:val="es-NI" w:eastAsia="es-NI"/>
              </w:rPr>
              <w:t> </w:t>
            </w:r>
          </w:p>
        </w:tc>
      </w:tr>
      <w:tr w:rsidR="00E93425" w:rsidRPr="00E93425" w14:paraId="6274DC22" w14:textId="77777777" w:rsidTr="00E93425">
        <w:trPr>
          <w:trHeight w:val="402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7D48C6" w14:textId="77777777" w:rsidR="00E93425" w:rsidRPr="00E93425" w:rsidRDefault="00E93425" w:rsidP="00E93425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05DA587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3A3FE78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565ED94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258122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BCE4F2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4A7C0AD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297967C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C750875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0D2628B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21B5A06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593E64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0BB7498" w14:textId="77777777" w:rsidR="00E93425" w:rsidRPr="00E93425" w:rsidRDefault="00E93425" w:rsidP="00E93425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2"/>
                <w:lang w:val="es-NI" w:eastAsia="es-NI"/>
              </w:rPr>
            </w:pPr>
            <w:r w:rsidRPr="00E93425">
              <w:rPr>
                <w:rFonts w:eastAsia="Times New Roman" w:cs="Courier New"/>
                <w:b/>
                <w:bCs/>
                <w:sz w:val="22"/>
                <w:lang w:val="es-NI" w:eastAsia="es-NI"/>
              </w:rPr>
              <w:t>0.29</w:t>
            </w:r>
          </w:p>
        </w:tc>
      </w:tr>
    </w:tbl>
    <w:p w14:paraId="6B781DA0" w14:textId="1AE7A46A" w:rsidR="00F610A7" w:rsidRDefault="00F610A7" w:rsidP="00F610A7">
      <w:pPr>
        <w:rPr>
          <w:noProof/>
          <w:lang w:val="es-NI" w:eastAsia="es-NI"/>
        </w:rPr>
      </w:pPr>
    </w:p>
    <w:p w14:paraId="76EB4D5F" w14:textId="77777777" w:rsidR="006A2241" w:rsidRDefault="006A2241" w:rsidP="00F610A7">
      <w:pPr>
        <w:rPr>
          <w:noProof/>
          <w:lang w:val="es-NI" w:eastAsia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2060857">
            <wp:extent cx="2346009" cy="1228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82" cy="12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5EFA0D92" w:rsidR="00F610A7" w:rsidRPr="00206A30" w:rsidRDefault="006A2241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</w:t>
      </w:r>
      <w:r w:rsidR="00F610A7" w:rsidRPr="00206A30">
        <w:rPr>
          <w:rFonts w:cs="Courier New"/>
          <w:sz w:val="28"/>
          <w:szCs w:val="28"/>
          <w:lang w:val="es-NI"/>
        </w:rPr>
        <w:t xml:space="preserve"> </w:t>
      </w:r>
      <w:r>
        <w:rPr>
          <w:rFonts w:cs="Courier New"/>
          <w:sz w:val="28"/>
          <w:szCs w:val="28"/>
          <w:lang w:val="es-NI"/>
        </w:rPr>
        <w:t xml:space="preserve">mes de </w:t>
      </w:r>
      <w:r w:rsidR="00E93425">
        <w:rPr>
          <w:rFonts w:cs="Courier New"/>
          <w:sz w:val="28"/>
          <w:szCs w:val="28"/>
          <w:lang w:val="es-NI"/>
        </w:rPr>
        <w:t>mayo</w:t>
      </w:r>
      <w:r w:rsidR="00F610A7" w:rsidRPr="00206A30">
        <w:rPr>
          <w:rFonts w:cs="Courier New"/>
          <w:sz w:val="28"/>
          <w:szCs w:val="28"/>
          <w:lang w:val="es-NI"/>
        </w:rPr>
        <w:t xml:space="preserve"> del año 2021, según las tasas de incidencia, los niveles de transmisión comunitaria se mantuvieron en general en el nivel </w:t>
      </w:r>
      <w:r w:rsidR="00EA5856" w:rsidRPr="00206A30">
        <w:rPr>
          <w:rFonts w:cs="Courier New"/>
          <w:sz w:val="28"/>
          <w:szCs w:val="28"/>
          <w:lang w:val="es-NI"/>
        </w:rPr>
        <w:t xml:space="preserve">1. </w:t>
      </w:r>
      <w:r w:rsidR="00E93425">
        <w:rPr>
          <w:rFonts w:cs="Courier New"/>
          <w:sz w:val="28"/>
          <w:szCs w:val="28"/>
          <w:lang w:val="es-NI"/>
        </w:rPr>
        <w:t>Ya tenemos 13</w:t>
      </w:r>
      <w:r w:rsidR="00EA5856">
        <w:rPr>
          <w:rFonts w:cs="Courier New"/>
          <w:sz w:val="28"/>
          <w:szCs w:val="28"/>
          <w:lang w:val="es-NI"/>
        </w:rPr>
        <w:t xml:space="preserve"> municipios que </w:t>
      </w:r>
      <w:r w:rsidR="00E93425">
        <w:rPr>
          <w:rFonts w:cs="Courier New"/>
          <w:sz w:val="28"/>
          <w:szCs w:val="28"/>
          <w:lang w:val="es-NI"/>
        </w:rPr>
        <w:t>registran</w:t>
      </w:r>
      <w:r w:rsidR="00EA5856">
        <w:rPr>
          <w:rFonts w:cs="Courier New"/>
          <w:sz w:val="28"/>
          <w:szCs w:val="28"/>
          <w:lang w:val="es-NI"/>
        </w:rPr>
        <w:t xml:space="preserve"> casos.</w:t>
      </w:r>
      <w:r w:rsidR="00926ED8" w:rsidRPr="00206A30">
        <w:rPr>
          <w:rFonts w:cs="Courier New"/>
          <w:sz w:val="28"/>
          <w:szCs w:val="28"/>
          <w:lang w:val="es-NI"/>
        </w:rPr>
        <w:t xml:space="preserve"> </w:t>
      </w:r>
    </w:p>
    <w:p w14:paraId="5F3C2798" w14:textId="77777777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6F704DB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6FD55FD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55E2D19" w14:textId="4623D598" w:rsidR="009D5BF2" w:rsidRDefault="007C145C" w:rsidP="00F610A7">
      <w:pPr>
        <w:jc w:val="both"/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</w:t>
      </w:r>
      <w:r w:rsidR="00EA5856">
        <w:rPr>
          <w:rFonts w:cs="Courier New"/>
          <w:b/>
          <w:sz w:val="28"/>
          <w:szCs w:val="28"/>
          <w:lang w:val="es-NI"/>
        </w:rPr>
        <w:t xml:space="preserve">      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Tasas de morbilidad y mortalidad de COVID-19 </w:t>
      </w:r>
    </w:p>
    <w:p w14:paraId="21C7D799" w14:textId="260B13E3" w:rsidR="00F610A7" w:rsidRPr="00206A30" w:rsidRDefault="007C145C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        </w:t>
      </w:r>
      <w:r w:rsidR="009D5BF2">
        <w:rPr>
          <w:rFonts w:cs="Courier New"/>
          <w:b/>
          <w:sz w:val="28"/>
          <w:szCs w:val="28"/>
          <w:lang w:val="es-NI"/>
        </w:rPr>
        <w:t>A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 nivel de </w:t>
      </w:r>
      <w:r w:rsidR="009D5BF2">
        <w:rPr>
          <w:rFonts w:cs="Courier New"/>
          <w:b/>
          <w:sz w:val="28"/>
          <w:szCs w:val="28"/>
          <w:lang w:val="es-NI"/>
        </w:rPr>
        <w:t xml:space="preserve">Municipios </w:t>
      </w:r>
      <w:r w:rsidR="009D5BF2" w:rsidRPr="00206A30">
        <w:rPr>
          <w:rFonts w:cs="Courier New"/>
          <w:b/>
          <w:sz w:val="28"/>
          <w:szCs w:val="28"/>
          <w:lang w:val="es-NI"/>
        </w:rPr>
        <w:t>año</w:t>
      </w:r>
      <w:r w:rsidR="009D5BF2">
        <w:rPr>
          <w:rFonts w:cs="Courier New"/>
          <w:b/>
          <w:sz w:val="28"/>
          <w:szCs w:val="28"/>
          <w:lang w:val="es-NI"/>
        </w:rPr>
        <w:t xml:space="preserve"> 2</w:t>
      </w:r>
      <w:r w:rsidR="00F610A7" w:rsidRPr="00206A30">
        <w:rPr>
          <w:rFonts w:cs="Courier New"/>
          <w:b/>
          <w:sz w:val="28"/>
          <w:szCs w:val="28"/>
          <w:lang w:val="es-NI"/>
        </w:rPr>
        <w:t>021</w:t>
      </w:r>
    </w:p>
    <w:p w14:paraId="0AA6D935" w14:textId="77777777" w:rsidR="00F610A7" w:rsidRDefault="00F610A7" w:rsidP="00F610A7">
      <w:pPr>
        <w:rPr>
          <w:sz w:val="28"/>
          <w:szCs w:val="28"/>
          <w:lang w:val="es-NI"/>
        </w:rPr>
      </w:pPr>
    </w:p>
    <w:tbl>
      <w:tblPr>
        <w:tblW w:w="67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688"/>
        <w:gridCol w:w="1693"/>
      </w:tblGrid>
      <w:tr w:rsidR="00960EDC" w:rsidRPr="00960EDC" w14:paraId="466464F8" w14:textId="77777777" w:rsidTr="00185708">
        <w:trPr>
          <w:trHeight w:val="2188"/>
        </w:trPr>
        <w:tc>
          <w:tcPr>
            <w:tcW w:w="67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0B39" w14:textId="77777777" w:rsidR="00960EDC" w:rsidRPr="00960EDC" w:rsidRDefault="00960EDC" w:rsidP="00960ED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COVID 19 Caso Confirmado</w:t>
            </w: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 xml:space="preserve"> Tasas Acumulados por 10000 hab.</w:t>
            </w: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Hasta la 21º semana epidemiológica</w:t>
            </w: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br/>
              <w:t>SILAIS MATAGALPA por Municipio</w:t>
            </w:r>
          </w:p>
        </w:tc>
      </w:tr>
      <w:tr w:rsidR="00960EDC" w:rsidRPr="00960EDC" w14:paraId="51C6E401" w14:textId="77777777" w:rsidTr="00185708">
        <w:trPr>
          <w:trHeight w:val="4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826114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MUNICIPIO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D2EDB7" w14:textId="77777777" w:rsidR="00960EDC" w:rsidRPr="00960EDC" w:rsidRDefault="00960EDC" w:rsidP="00960ED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EF6812F" w14:textId="77777777" w:rsidR="00960EDC" w:rsidRPr="00960EDC" w:rsidRDefault="00960EDC" w:rsidP="00960ED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2021</w:t>
            </w:r>
          </w:p>
        </w:tc>
      </w:tr>
      <w:tr w:rsidR="00960EDC" w:rsidRPr="00960EDC" w14:paraId="4C552E09" w14:textId="77777777" w:rsidTr="00185708">
        <w:trPr>
          <w:trHeight w:val="440"/>
        </w:trPr>
        <w:tc>
          <w:tcPr>
            <w:tcW w:w="33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4FC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CE8399" w14:textId="77777777" w:rsidR="00960EDC" w:rsidRPr="00960EDC" w:rsidRDefault="00960EDC" w:rsidP="00960ED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Tasas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B9B3536" w14:textId="77777777" w:rsidR="00960EDC" w:rsidRPr="00960EDC" w:rsidRDefault="00960EDC" w:rsidP="00960ED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Tasas</w:t>
            </w:r>
          </w:p>
        </w:tc>
      </w:tr>
      <w:tr w:rsidR="00960EDC" w:rsidRPr="00960EDC" w14:paraId="3343B030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BCD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Ciudad Darío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2430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2413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4.14</w:t>
            </w:r>
          </w:p>
        </w:tc>
      </w:tr>
      <w:tr w:rsidR="00960EDC" w:rsidRPr="00960EDC" w14:paraId="7B42C7D2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F9F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Esquipulas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CF6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4048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1.89</w:t>
            </w:r>
          </w:p>
        </w:tc>
      </w:tr>
      <w:tr w:rsidR="00960EDC" w:rsidRPr="00960EDC" w14:paraId="335C8BEC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AFEF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Matagalpa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4C5A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7DB16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3.52</w:t>
            </w:r>
          </w:p>
        </w:tc>
      </w:tr>
      <w:tr w:rsidR="00960EDC" w:rsidRPr="00960EDC" w14:paraId="35DA57A9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7AB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Matiguás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0CF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1D0D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0.97</w:t>
            </w:r>
          </w:p>
        </w:tc>
      </w:tr>
      <w:tr w:rsidR="00960EDC" w:rsidRPr="00960EDC" w14:paraId="2398A798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35E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Muy Muy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FE1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2D18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4.08</w:t>
            </w:r>
          </w:p>
        </w:tc>
      </w:tr>
      <w:tr w:rsidR="00960EDC" w:rsidRPr="00960EDC" w14:paraId="5DC53653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CB3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Rancho Grande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7A1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78C11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0.38</w:t>
            </w:r>
          </w:p>
        </w:tc>
      </w:tr>
      <w:tr w:rsidR="00960EDC" w:rsidRPr="00960EDC" w14:paraId="246E7246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94C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Río Blanco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F12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5C61F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2.27</w:t>
            </w:r>
          </w:p>
        </w:tc>
      </w:tr>
      <w:tr w:rsidR="00960EDC" w:rsidRPr="00960EDC" w14:paraId="35FAE363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732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Dionisio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2BF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14B19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0.61</w:t>
            </w:r>
          </w:p>
        </w:tc>
      </w:tr>
      <w:tr w:rsidR="00960EDC" w:rsidRPr="00960EDC" w14:paraId="28A50192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69E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Isidro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A72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3C262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9.76</w:t>
            </w:r>
          </w:p>
        </w:tc>
      </w:tr>
      <w:tr w:rsidR="00960EDC" w:rsidRPr="00960EDC" w14:paraId="4C598CBA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AF4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Ramón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655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BFBD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1.63</w:t>
            </w:r>
          </w:p>
        </w:tc>
      </w:tr>
      <w:tr w:rsidR="00960EDC" w:rsidRPr="00960EDC" w14:paraId="38EFD58C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7F6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Sébaco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A6C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3.10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719A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5.90</w:t>
            </w:r>
          </w:p>
        </w:tc>
      </w:tr>
      <w:tr w:rsidR="00960EDC" w:rsidRPr="00960EDC" w14:paraId="6184CD67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2F7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Terrabona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608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3.14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74C1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0.78</w:t>
            </w:r>
          </w:p>
        </w:tc>
      </w:tr>
      <w:tr w:rsidR="00960EDC" w:rsidRPr="00960EDC" w14:paraId="7317F350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896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Waslala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91C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101C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0.41</w:t>
            </w:r>
          </w:p>
        </w:tc>
      </w:tr>
      <w:tr w:rsidR="00960EDC" w:rsidRPr="00960EDC" w14:paraId="7C7BB025" w14:textId="77777777" w:rsidTr="00185708">
        <w:trPr>
          <w:trHeight w:val="440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DE28B0" w14:textId="77777777" w:rsidR="00960EDC" w:rsidRPr="00960EDC" w:rsidRDefault="00960EDC" w:rsidP="00960EDC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CBE60A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0.87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2450273" w14:textId="77777777" w:rsidR="00960EDC" w:rsidRPr="00960EDC" w:rsidRDefault="00960EDC" w:rsidP="00960EDC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960EDC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2.51</w:t>
            </w:r>
          </w:p>
        </w:tc>
      </w:tr>
    </w:tbl>
    <w:p w14:paraId="72EDF78C" w14:textId="77777777" w:rsidR="005F0679" w:rsidRPr="005F0679" w:rsidRDefault="005F0679" w:rsidP="00F610A7">
      <w:pPr>
        <w:rPr>
          <w:sz w:val="28"/>
          <w:szCs w:val="28"/>
          <w:lang w:val="es-NI"/>
        </w:rPr>
      </w:pPr>
    </w:p>
    <w:p w14:paraId="2E3E99F7" w14:textId="77777777" w:rsidR="005F0679" w:rsidRDefault="005F0679" w:rsidP="00F610A7">
      <w:pPr>
        <w:rPr>
          <w:sz w:val="28"/>
          <w:szCs w:val="28"/>
          <w:lang w:val="es-NI"/>
        </w:rPr>
      </w:pPr>
    </w:p>
    <w:p w14:paraId="3D06B308" w14:textId="77777777" w:rsidR="00185708" w:rsidRDefault="00185708" w:rsidP="00F610A7">
      <w:pPr>
        <w:rPr>
          <w:sz w:val="28"/>
          <w:szCs w:val="28"/>
          <w:lang w:val="es-NI"/>
        </w:rPr>
      </w:pPr>
    </w:p>
    <w:p w14:paraId="450F20A2" w14:textId="77777777" w:rsidR="00185708" w:rsidRDefault="00185708" w:rsidP="00F610A7">
      <w:pPr>
        <w:rPr>
          <w:sz w:val="28"/>
          <w:szCs w:val="28"/>
          <w:lang w:val="es-NI"/>
        </w:rPr>
      </w:pPr>
    </w:p>
    <w:tbl>
      <w:tblPr>
        <w:tblW w:w="5543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6"/>
        <w:gridCol w:w="1657"/>
      </w:tblGrid>
      <w:tr w:rsidR="001500EF" w:rsidRPr="001500EF" w14:paraId="0A5B4F12" w14:textId="77777777" w:rsidTr="00185708">
        <w:trPr>
          <w:trHeight w:val="1497"/>
        </w:trPr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0F" w14:textId="7A4ADB0C" w:rsidR="001500EF" w:rsidRPr="001500EF" w:rsidRDefault="00185708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lastRenderedPageBreak/>
              <w:t>T</w:t>
            </w:r>
            <w:r w:rsidR="001500EF"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asas Muerte por COVID 19 </w:t>
            </w:r>
            <w:r w:rsidR="001500EF"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</w:t>
            </w:r>
            <w:r w:rsidR="005F0679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IS MAT</w:t>
            </w:r>
            <w:r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AGALPA por Municipio</w:t>
            </w:r>
            <w:r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Hasta mayo</w:t>
            </w:r>
            <w:r w:rsidR="001500EF"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 2021</w:t>
            </w:r>
          </w:p>
        </w:tc>
      </w:tr>
      <w:tr w:rsidR="001500EF" w:rsidRPr="001500EF" w14:paraId="03D2CCBB" w14:textId="77777777" w:rsidTr="00185708">
        <w:trPr>
          <w:trHeight w:val="844"/>
        </w:trPr>
        <w:tc>
          <w:tcPr>
            <w:tcW w:w="3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BF51950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4D8FF9C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1500EF" w:rsidRPr="001500EF" w14:paraId="7A8CB9BC" w14:textId="77777777" w:rsidTr="00185708">
        <w:trPr>
          <w:trHeight w:val="423"/>
        </w:trPr>
        <w:tc>
          <w:tcPr>
            <w:tcW w:w="3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04D93B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A0E8838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1500EF" w:rsidRPr="001500EF" w14:paraId="264ED750" w14:textId="77777777" w:rsidTr="00185708">
        <w:trPr>
          <w:trHeight w:val="844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8FF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ACC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4945F13F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3ACEB051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</w:tr>
      <w:tr w:rsidR="001500EF" w:rsidRPr="001500EF" w14:paraId="37C93285" w14:textId="77777777" w:rsidTr="00185708">
        <w:trPr>
          <w:trHeight w:val="844"/>
        </w:trPr>
        <w:tc>
          <w:tcPr>
            <w:tcW w:w="3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9A6E145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bookmarkStart w:id="0" w:name="_GoBack" w:colFirst="0" w:colLast="2"/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21CD94D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</w:tbl>
    <w:bookmarkEnd w:id="0"/>
    <w:p w14:paraId="55E31723" w14:textId="0131C0E9" w:rsidR="00F610A7" w:rsidRDefault="00F610A7" w:rsidP="00F610A7">
      <w:pPr>
        <w:rPr>
          <w:lang w:val="es-NI"/>
        </w:rPr>
      </w:pPr>
      <w:r>
        <w:rPr>
          <w:lang w:val="es-NI"/>
        </w:rPr>
        <w:t xml:space="preserve">               </w:t>
      </w: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04212" w14:textId="77777777" w:rsidR="004974A7" w:rsidRDefault="004974A7" w:rsidP="0097075D">
      <w:pPr>
        <w:spacing w:line="240" w:lineRule="auto"/>
      </w:pPr>
      <w:r>
        <w:separator/>
      </w:r>
    </w:p>
  </w:endnote>
  <w:endnote w:type="continuationSeparator" w:id="0">
    <w:p w14:paraId="21F23BC7" w14:textId="77777777" w:rsidR="004974A7" w:rsidRDefault="004974A7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F8FB" w14:textId="77777777" w:rsidR="004974A7" w:rsidRDefault="004974A7" w:rsidP="0097075D">
      <w:pPr>
        <w:spacing w:line="240" w:lineRule="auto"/>
      </w:pPr>
      <w:r>
        <w:separator/>
      </w:r>
    </w:p>
  </w:footnote>
  <w:footnote w:type="continuationSeparator" w:id="0">
    <w:p w14:paraId="7B2B4C79" w14:textId="77777777" w:rsidR="004974A7" w:rsidRDefault="004974A7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0FCC"/>
    <w:rsid w:val="0003779B"/>
    <w:rsid w:val="000443F1"/>
    <w:rsid w:val="00056D29"/>
    <w:rsid w:val="00074D95"/>
    <w:rsid w:val="0008143F"/>
    <w:rsid w:val="000A08C9"/>
    <w:rsid w:val="000C04E5"/>
    <w:rsid w:val="000C56A1"/>
    <w:rsid w:val="000E3546"/>
    <w:rsid w:val="00121EA1"/>
    <w:rsid w:val="001500EF"/>
    <w:rsid w:val="00150C0E"/>
    <w:rsid w:val="0016512A"/>
    <w:rsid w:val="00167561"/>
    <w:rsid w:val="001808AF"/>
    <w:rsid w:val="00185708"/>
    <w:rsid w:val="001875C1"/>
    <w:rsid w:val="001A4623"/>
    <w:rsid w:val="001B69D7"/>
    <w:rsid w:val="001B6F8F"/>
    <w:rsid w:val="00202417"/>
    <w:rsid w:val="00206A30"/>
    <w:rsid w:val="00233164"/>
    <w:rsid w:val="002373FE"/>
    <w:rsid w:val="002505A5"/>
    <w:rsid w:val="00252276"/>
    <w:rsid w:val="0029430E"/>
    <w:rsid w:val="00295E0B"/>
    <w:rsid w:val="002A20FF"/>
    <w:rsid w:val="002A34AC"/>
    <w:rsid w:val="002A4D7F"/>
    <w:rsid w:val="002D524D"/>
    <w:rsid w:val="002F5D7F"/>
    <w:rsid w:val="0031078C"/>
    <w:rsid w:val="003542BE"/>
    <w:rsid w:val="00364257"/>
    <w:rsid w:val="003B50D3"/>
    <w:rsid w:val="003D1A8D"/>
    <w:rsid w:val="003F31E8"/>
    <w:rsid w:val="003F741E"/>
    <w:rsid w:val="0040021A"/>
    <w:rsid w:val="00434E4E"/>
    <w:rsid w:val="00435822"/>
    <w:rsid w:val="00443C86"/>
    <w:rsid w:val="004974A7"/>
    <w:rsid w:val="004A15FD"/>
    <w:rsid w:val="004B089F"/>
    <w:rsid w:val="004B4342"/>
    <w:rsid w:val="004C0392"/>
    <w:rsid w:val="004C695C"/>
    <w:rsid w:val="004D5793"/>
    <w:rsid w:val="004E7A43"/>
    <w:rsid w:val="004F1168"/>
    <w:rsid w:val="005013F3"/>
    <w:rsid w:val="00502162"/>
    <w:rsid w:val="005254D4"/>
    <w:rsid w:val="00525D30"/>
    <w:rsid w:val="00567480"/>
    <w:rsid w:val="00574C32"/>
    <w:rsid w:val="00590C19"/>
    <w:rsid w:val="00592509"/>
    <w:rsid w:val="005A3151"/>
    <w:rsid w:val="005A4C74"/>
    <w:rsid w:val="005A55C3"/>
    <w:rsid w:val="005B77FD"/>
    <w:rsid w:val="005B7A75"/>
    <w:rsid w:val="005E79BD"/>
    <w:rsid w:val="005F0679"/>
    <w:rsid w:val="006106AE"/>
    <w:rsid w:val="006339FD"/>
    <w:rsid w:val="00636532"/>
    <w:rsid w:val="00646625"/>
    <w:rsid w:val="006A2241"/>
    <w:rsid w:val="006B0CCB"/>
    <w:rsid w:val="006B505F"/>
    <w:rsid w:val="006B6A24"/>
    <w:rsid w:val="0070067F"/>
    <w:rsid w:val="00705780"/>
    <w:rsid w:val="00710838"/>
    <w:rsid w:val="007350E7"/>
    <w:rsid w:val="00774025"/>
    <w:rsid w:val="007906BB"/>
    <w:rsid w:val="007A1F2D"/>
    <w:rsid w:val="007A3ACB"/>
    <w:rsid w:val="007A3ECF"/>
    <w:rsid w:val="007C145C"/>
    <w:rsid w:val="007E16C5"/>
    <w:rsid w:val="007F59A4"/>
    <w:rsid w:val="0081479B"/>
    <w:rsid w:val="00831423"/>
    <w:rsid w:val="00871AA9"/>
    <w:rsid w:val="0087269D"/>
    <w:rsid w:val="008909AB"/>
    <w:rsid w:val="008A5233"/>
    <w:rsid w:val="008B23A7"/>
    <w:rsid w:val="008D2AF5"/>
    <w:rsid w:val="008D5E8B"/>
    <w:rsid w:val="008F38E1"/>
    <w:rsid w:val="00902673"/>
    <w:rsid w:val="009044DC"/>
    <w:rsid w:val="0092517A"/>
    <w:rsid w:val="00926ED8"/>
    <w:rsid w:val="009450CF"/>
    <w:rsid w:val="00946333"/>
    <w:rsid w:val="009560F1"/>
    <w:rsid w:val="00960EDC"/>
    <w:rsid w:val="00965E03"/>
    <w:rsid w:val="0097075D"/>
    <w:rsid w:val="009A0314"/>
    <w:rsid w:val="009C3318"/>
    <w:rsid w:val="009D2202"/>
    <w:rsid w:val="009D5347"/>
    <w:rsid w:val="009D5BF2"/>
    <w:rsid w:val="009E6B9F"/>
    <w:rsid w:val="00A165DA"/>
    <w:rsid w:val="00A25944"/>
    <w:rsid w:val="00A80F5D"/>
    <w:rsid w:val="00A8454C"/>
    <w:rsid w:val="00AA50E6"/>
    <w:rsid w:val="00AB6F24"/>
    <w:rsid w:val="00AD31A6"/>
    <w:rsid w:val="00B11345"/>
    <w:rsid w:val="00B16BB5"/>
    <w:rsid w:val="00B24B20"/>
    <w:rsid w:val="00B35CE4"/>
    <w:rsid w:val="00B43A9C"/>
    <w:rsid w:val="00B52D41"/>
    <w:rsid w:val="00BA6186"/>
    <w:rsid w:val="00BB32FD"/>
    <w:rsid w:val="00BB75FD"/>
    <w:rsid w:val="00C354F3"/>
    <w:rsid w:val="00C4004E"/>
    <w:rsid w:val="00CA46D1"/>
    <w:rsid w:val="00CC3454"/>
    <w:rsid w:val="00D01CC3"/>
    <w:rsid w:val="00D16887"/>
    <w:rsid w:val="00D376A0"/>
    <w:rsid w:val="00D76405"/>
    <w:rsid w:val="00D92C2E"/>
    <w:rsid w:val="00DA480F"/>
    <w:rsid w:val="00DC3068"/>
    <w:rsid w:val="00DD393B"/>
    <w:rsid w:val="00DE20CC"/>
    <w:rsid w:val="00DE5A48"/>
    <w:rsid w:val="00DF7C12"/>
    <w:rsid w:val="00E26956"/>
    <w:rsid w:val="00E65458"/>
    <w:rsid w:val="00E74F1E"/>
    <w:rsid w:val="00E77A8E"/>
    <w:rsid w:val="00E901D2"/>
    <w:rsid w:val="00E93425"/>
    <w:rsid w:val="00EA5856"/>
    <w:rsid w:val="00EB77AD"/>
    <w:rsid w:val="00EC0A83"/>
    <w:rsid w:val="00EC6C24"/>
    <w:rsid w:val="00F22617"/>
    <w:rsid w:val="00F2720A"/>
    <w:rsid w:val="00F272A1"/>
    <w:rsid w:val="00F31195"/>
    <w:rsid w:val="00F33283"/>
    <w:rsid w:val="00F53755"/>
    <w:rsid w:val="00F57498"/>
    <w:rsid w:val="00F610A7"/>
    <w:rsid w:val="00F76674"/>
    <w:rsid w:val="00FA27F6"/>
    <w:rsid w:val="00FA3382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oja39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 CASOS POR SEMANAS EPIDEMIOLOGICAS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HASTA MAYO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'[Hoja4]1'!$A$5</c:f>
              <c:strCache>
                <c:ptCount val="1"/>
                <c:pt idx="0">
                  <c:v>COVID 19 Caso Confirmado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'[Hoja4]1'!$B$3:$V$4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'[Hoja4]1'!$B$5:$V$5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6</c:v>
                </c:pt>
                <c:pt idx="15">
                  <c:v>5</c:v>
                </c:pt>
                <c:pt idx="16">
                  <c:v>10</c:v>
                </c:pt>
                <c:pt idx="17">
                  <c:v>9</c:v>
                </c:pt>
                <c:pt idx="18">
                  <c:v>23</c:v>
                </c:pt>
                <c:pt idx="19">
                  <c:v>31</c:v>
                </c:pt>
                <c:pt idx="2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313960"/>
        <c:axId val="298316704"/>
      </c:barChart>
      <c:lineChart>
        <c:grouping val="stacked"/>
        <c:varyColors val="0"/>
        <c:ser>
          <c:idx val="1"/>
          <c:order val="1"/>
          <c:tx>
            <c:strRef>
              <c:f>'[Hoja4]1'!$A$6</c:f>
              <c:strCache>
                <c:ptCount val="1"/>
                <c:pt idx="0">
                  <c:v>Muerte por COVID 19 Confirmado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'[Hoja4]1'!$B$3:$V$4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'[Hoja4]1'!$B$6:$V$6</c:f>
              <c:numCache>
                <c:formatCode>General</c:formatCode>
                <c:ptCount val="2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313960"/>
        <c:axId val="298316704"/>
      </c:lineChart>
      <c:catAx>
        <c:axId val="29831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8316704"/>
        <c:crosses val="autoZero"/>
        <c:auto val="1"/>
        <c:lblAlgn val="ctr"/>
        <c:lblOffset val="100"/>
        <c:noMultiLvlLbl val="0"/>
      </c:catAx>
      <c:valAx>
        <c:axId val="2983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8313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 DISTRIBUCION PORCENTUAL POR MUNICIPIOS.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HASTA MAYO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'[Hoja39]1'!$B$20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'[Hoja39]1'!$A$21:$A$33</c:f>
              <c:strCache>
                <c:ptCount val="13"/>
                <c:pt idx="0">
                  <c:v>Ciudad Darío</c:v>
                </c:pt>
                <c:pt idx="1">
                  <c:v>Esquipulas</c:v>
                </c:pt>
                <c:pt idx="2">
                  <c:v>Matagalpa</c:v>
                </c:pt>
                <c:pt idx="3">
                  <c:v>Matiguás</c:v>
                </c:pt>
                <c:pt idx="4">
                  <c:v>Muy Muy</c:v>
                </c:pt>
                <c:pt idx="5">
                  <c:v>Rancho Grande</c:v>
                </c:pt>
                <c:pt idx="6">
                  <c:v>Río Blanco</c:v>
                </c:pt>
                <c:pt idx="7">
                  <c:v>San Dionisio</c:v>
                </c:pt>
                <c:pt idx="8">
                  <c:v>San Isidro</c:v>
                </c:pt>
                <c:pt idx="9">
                  <c:v>San Ramón</c:v>
                </c:pt>
                <c:pt idx="10">
                  <c:v>Sébaco</c:v>
                </c:pt>
                <c:pt idx="11">
                  <c:v>Terrabona</c:v>
                </c:pt>
                <c:pt idx="12">
                  <c:v>Waslala</c:v>
                </c:pt>
              </c:strCache>
            </c:strRef>
          </c:cat>
          <c:val>
            <c:numRef>
              <c:f>'[Hoja39]1'!$B$21:$B$33</c:f>
              <c:numCache>
                <c:formatCode>0%</c:formatCode>
                <c:ptCount val="13"/>
                <c:pt idx="0">
                  <c:v>0.13</c:v>
                </c:pt>
                <c:pt idx="1">
                  <c:v>0.02</c:v>
                </c:pt>
                <c:pt idx="2">
                  <c:v>0.36</c:v>
                </c:pt>
                <c:pt idx="3">
                  <c:v>0.03</c:v>
                </c:pt>
                <c:pt idx="4">
                  <c:v>0.05</c:v>
                </c:pt>
                <c:pt idx="5">
                  <c:v>0.01</c:v>
                </c:pt>
                <c:pt idx="6">
                  <c:v>0.05</c:v>
                </c:pt>
                <c:pt idx="7">
                  <c:v>0.01</c:v>
                </c:pt>
                <c:pt idx="8">
                  <c:v>0.13</c:v>
                </c:pt>
                <c:pt idx="9">
                  <c:v>0.04</c:v>
                </c:pt>
                <c:pt idx="10">
                  <c:v>0.14000000000000001</c:v>
                </c:pt>
                <c:pt idx="11">
                  <c:v>0.01</c:v>
                </c:pt>
                <c:pt idx="1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319448"/>
        <c:axId val="298326896"/>
      </c:barChart>
      <c:catAx>
        <c:axId val="29831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8326896"/>
        <c:crosses val="autoZero"/>
        <c:auto val="1"/>
        <c:lblAlgn val="ctr"/>
        <c:lblOffset val="100"/>
        <c:noMultiLvlLbl val="0"/>
      </c:catAx>
      <c:valAx>
        <c:axId val="29832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8319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Absoluta por Grupos de Edad 
Hasta la 21º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[Hoja40]P1!$B$4:$B$15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[Hoja40]P1!$C$4:$C$15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-1</c:v>
                </c:pt>
                <c:pt idx="6">
                  <c:v>-32</c:v>
                </c:pt>
                <c:pt idx="7">
                  <c:v>-27</c:v>
                </c:pt>
                <c:pt idx="8">
                  <c:v>0</c:v>
                </c:pt>
                <c:pt idx="9">
                  <c:v>0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[Hoja40]P1!$D$4:$D$15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46</c:v>
                </c:pt>
                <c:pt idx="7">
                  <c:v>21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98327680"/>
        <c:axId val="298325720"/>
      </c:barChart>
      <c:catAx>
        <c:axId val="298327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98325720"/>
        <c:crosses val="autoZero"/>
        <c:auto val="1"/>
        <c:lblAlgn val="ctr"/>
        <c:lblOffset val="100"/>
        <c:noMultiLvlLbl val="0"/>
      </c:catAx>
      <c:valAx>
        <c:axId val="29832572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83276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21º semana epidemiológica
 Matagalpa - Año 2021</a:t>
            </a:r>
          </a:p>
        </c:rich>
      </c:tx>
      <c:layout>
        <c:manualLayout>
          <c:xMode val="edge"/>
          <c:yMode val="edge"/>
          <c:x val="0.21892773403324584"/>
          <c:y val="2.1108179419525065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98328072"/>
        <c:axId val="190880272"/>
      </c:barChart>
      <c:catAx>
        <c:axId val="298328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90880272"/>
        <c:crosses val="autoZero"/>
        <c:auto val="1"/>
        <c:lblAlgn val="ctr"/>
        <c:lblOffset val="100"/>
        <c:noMultiLvlLbl val="0"/>
      </c:catAx>
      <c:valAx>
        <c:axId val="1908802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83280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21º semana epidemiológica
 Matagalpa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[Hoja6]P1!$C$3:$D$3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[Hoja6]P1!$C$4:$D$4</c:f>
              <c:numCache>
                <c:formatCode>General</c:formatCode>
                <c:ptCount val="2"/>
                <c:pt idx="0" formatCode="0;0">
                  <c:v>-62</c:v>
                </c:pt>
                <c:pt idx="1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43219" y="863220"/>
          <a:ext cx="4079781" cy="1311895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43219" y="863220"/>
          <a:ext cx="4079781" cy="1311895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130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6852892" y="-439358"/>
          <a:ext cx="8155818" cy="8155818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1077731" y="2325139"/>
          <a:ext cx="3545264" cy="1185483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1077731" y="2325139"/>
          <a:ext cx="3545264" cy="1185483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5,870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1029444" y="3697276"/>
          <a:ext cx="3545264" cy="1238634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1029444" y="3697276"/>
          <a:ext cx="3545264" cy="1238634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129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681727" y="5091896"/>
          <a:ext cx="4079781" cy="1289445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681727" y="5091896"/>
          <a:ext cx="4079781" cy="1289445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ctr"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pPr algn="ctr"/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296"/>
          </a:avLst>
        </a:prstGeom>
      </dgm:spPr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99031" y="957784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633548" y="2356497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633548" y="3755210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85026" y="5278247"/>
          <a:ext cx="993403" cy="916744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</dgm:ptLst>
  <dgm:cxnLst>
    <dgm:cxn modelId="{4CA51C87-6F54-4981-A194-41C68D3615FD}" type="presOf" srcId="{4572347B-FDCC-4D40-955D-0300739469CF}" destId="{6A75484F-6B0A-4CD4-8777-EE2BDC321053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DEE9304-FD9B-4FA2-B1FC-CC45E6E23A68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BF47DDBF-E452-4F7F-BD5D-80F3D8C2BA00}" type="presOf" srcId="{75715167-98A1-43AA-BB9F-C8646048B38B}" destId="{F9CBDA24-6466-4970-BEFD-0C117089F9F4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2AF8204-733D-4D88-ADCF-88508DAEEDBE}" type="presOf" srcId="{4D3DA8A8-879B-4BD3-B242-5783B667FE7E}" destId="{0410D381-D05A-4A9A-AF14-15B59EDC2CE6}" srcOrd="0" destOrd="1" presId="urn:microsoft.com/office/officeart/2008/layout/VerticalCurvedList"/>
    <dgm:cxn modelId="{D98FFF0A-5ABB-473B-BD31-DFADFE5487A4}" type="presOf" srcId="{73BEB52C-626B-4074-85A0-1C96960ADE8F}" destId="{730F9EC8-06F4-4A71-AB00-79739AEB9676}" srcOrd="0" destOrd="0" presId="urn:microsoft.com/office/officeart/2008/layout/VerticalCurvedList"/>
    <dgm:cxn modelId="{A10267FE-E3B3-4B60-8F5C-028F9DE91971}" type="presOf" srcId="{62096081-9C9D-4636-9D9E-39DE572EE29F}" destId="{6A75484F-6B0A-4CD4-8777-EE2BDC321053}" srcOrd="0" destOrd="1" presId="urn:microsoft.com/office/officeart/2008/layout/VerticalCurvedList"/>
    <dgm:cxn modelId="{1852D357-3381-4634-ADEB-D1FD0C3951BA}" type="presOf" srcId="{858CFB1C-108B-460C-B456-0D0BFA519988}" destId="{F9CBDA24-6466-4970-BEFD-0C117089F9F4}" srcOrd="0" destOrd="0" presId="urn:microsoft.com/office/officeart/2008/layout/VerticalCurvedList"/>
    <dgm:cxn modelId="{4C382632-4792-4CEC-8CB1-F53C4EE3545B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43F96B23-E0E9-4CDB-B4E1-77E7D29A2DAC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2EC78557-1439-4722-AB72-11D496A78FE4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AE19CAEB-F80F-471E-85A4-C1E008D47D9F}" type="presParOf" srcId="{730F9EC8-06F4-4A71-AB00-79739AEB9676}" destId="{B1C57B43-7763-419A-B9C1-F1802D5EF39B}" srcOrd="0" destOrd="0" presId="urn:microsoft.com/office/officeart/2008/layout/VerticalCurvedList"/>
    <dgm:cxn modelId="{45C495EE-DF3B-4E10-BDEB-6D3498A879F4}" type="presParOf" srcId="{B1C57B43-7763-419A-B9C1-F1802D5EF39B}" destId="{15586FDF-0390-4468-B1B5-223BD080702F}" srcOrd="0" destOrd="0" presId="urn:microsoft.com/office/officeart/2008/layout/VerticalCurvedList"/>
    <dgm:cxn modelId="{058EFF33-0A78-47E2-ACCF-9C3083AEB8A0}" type="presParOf" srcId="{15586FDF-0390-4468-B1B5-223BD080702F}" destId="{50652805-2BE7-40A3-A165-79560558A992}" srcOrd="0" destOrd="0" presId="urn:microsoft.com/office/officeart/2008/layout/VerticalCurvedList"/>
    <dgm:cxn modelId="{CC1AED27-6B36-44F8-8EC8-9AE8F91590D2}" type="presParOf" srcId="{15586FDF-0390-4468-B1B5-223BD080702F}" destId="{C2F9E7C4-FE48-4ECB-9CBF-4E44E2EAEDA8}" srcOrd="1" destOrd="0" presId="urn:microsoft.com/office/officeart/2008/layout/VerticalCurvedList"/>
    <dgm:cxn modelId="{F8CE9818-57B0-4C61-868C-8A9859CB5461}" type="presParOf" srcId="{15586FDF-0390-4468-B1B5-223BD080702F}" destId="{C82C4815-06FD-47A4-939A-1FB267516F78}" srcOrd="2" destOrd="0" presId="urn:microsoft.com/office/officeart/2008/layout/VerticalCurvedList"/>
    <dgm:cxn modelId="{C134280E-6F9A-481F-AC33-4602637EE1BF}" type="presParOf" srcId="{15586FDF-0390-4468-B1B5-223BD080702F}" destId="{0A560CEC-DC95-4ED2-B1EE-FFD7C0E8C1DF}" srcOrd="3" destOrd="0" presId="urn:microsoft.com/office/officeart/2008/layout/VerticalCurvedList"/>
    <dgm:cxn modelId="{FF3C0986-EA97-4552-A4BE-273EDCFE6825}" type="presParOf" srcId="{B1C57B43-7763-419A-B9C1-F1802D5EF39B}" destId="{0410D381-D05A-4A9A-AF14-15B59EDC2CE6}" srcOrd="1" destOrd="0" presId="urn:microsoft.com/office/officeart/2008/layout/VerticalCurvedList"/>
    <dgm:cxn modelId="{8E3CA1C9-1624-4367-8E7C-8BE66081FB00}" type="presParOf" srcId="{B1C57B43-7763-419A-B9C1-F1802D5EF39B}" destId="{49F37629-B8FA-4356-8347-B8FED195B745}" srcOrd="2" destOrd="0" presId="urn:microsoft.com/office/officeart/2008/layout/VerticalCurvedList"/>
    <dgm:cxn modelId="{B3479AA0-F639-40EE-9417-3B48925205E8}" type="presParOf" srcId="{49F37629-B8FA-4356-8347-B8FED195B745}" destId="{96B94C9A-08A4-4210-B5A1-5DF3C7AD73E2}" srcOrd="0" destOrd="0" presId="urn:microsoft.com/office/officeart/2008/layout/VerticalCurvedList"/>
    <dgm:cxn modelId="{A6E92E48-4625-410D-897E-81EFECE5307E}" type="presParOf" srcId="{B1C57B43-7763-419A-B9C1-F1802D5EF39B}" destId="{F9CBDA24-6466-4970-BEFD-0C117089F9F4}" srcOrd="3" destOrd="0" presId="urn:microsoft.com/office/officeart/2008/layout/VerticalCurvedList"/>
    <dgm:cxn modelId="{DA7E2D4B-7D13-4F15-86DB-A9A21A1BFE7F}" type="presParOf" srcId="{B1C57B43-7763-419A-B9C1-F1802D5EF39B}" destId="{69A9EDD6-5BF7-40AA-825D-8B8E4152B0E8}" srcOrd="4" destOrd="0" presId="urn:microsoft.com/office/officeart/2008/layout/VerticalCurvedList"/>
    <dgm:cxn modelId="{A596241B-90A2-4E54-A9BF-63CAC5C3B070}" type="presParOf" srcId="{69A9EDD6-5BF7-40AA-825D-8B8E4152B0E8}" destId="{CD780C04-D85D-449B-8D03-46DE662BA124}" srcOrd="0" destOrd="0" presId="urn:microsoft.com/office/officeart/2008/layout/VerticalCurvedList"/>
    <dgm:cxn modelId="{5DCFB246-B5C0-4D8A-9000-8E1107654416}" type="presParOf" srcId="{B1C57B43-7763-419A-B9C1-F1802D5EF39B}" destId="{89D70A02-B222-4417-8773-EAA434DE1AAD}" srcOrd="5" destOrd="0" presId="urn:microsoft.com/office/officeart/2008/layout/VerticalCurvedList"/>
    <dgm:cxn modelId="{59F17A04-1007-4607-B0B6-43148666FEE9}" type="presParOf" srcId="{B1C57B43-7763-419A-B9C1-F1802D5EF39B}" destId="{19E17D92-41DF-4844-8BA8-2ACDEA294616}" srcOrd="6" destOrd="0" presId="urn:microsoft.com/office/officeart/2008/layout/VerticalCurvedList"/>
    <dgm:cxn modelId="{C266749F-998B-47FA-BED4-A1CB1AB298C9}" type="presParOf" srcId="{19E17D92-41DF-4844-8BA8-2ACDEA294616}" destId="{EBA4D1AD-9C90-4F05-80BA-0EC31E42A995}" srcOrd="0" destOrd="0" presId="urn:microsoft.com/office/officeart/2008/layout/VerticalCurvedList"/>
    <dgm:cxn modelId="{FA669A27-90AB-4D86-9FE8-D85320A90C01}" type="presParOf" srcId="{B1C57B43-7763-419A-B9C1-F1802D5EF39B}" destId="{6A75484F-6B0A-4CD4-8777-EE2BDC321053}" srcOrd="7" destOrd="0" presId="urn:microsoft.com/office/officeart/2008/layout/VerticalCurvedList"/>
    <dgm:cxn modelId="{B6B821C4-E334-495D-A26B-80A0EA67E7A7}" type="presParOf" srcId="{B1C57B43-7763-419A-B9C1-F1802D5EF39B}" destId="{BAA89B27-0DE4-475E-821C-2A3C402EB16C}" srcOrd="8" destOrd="0" presId="urn:microsoft.com/office/officeart/2008/layout/VerticalCurvedList"/>
    <dgm:cxn modelId="{915121D2-8E92-48B9-B861-D9610F5288F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52892" y="-439358"/>
          <a:ext cx="8155818" cy="8155818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43219" y="863220"/>
          <a:ext cx="4079781" cy="1311895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130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43219" y="863220"/>
        <a:ext cx="4079781" cy="1311895"/>
      </dsp:txXfrm>
    </dsp:sp>
    <dsp:sp modelId="{96B94C9A-08A4-4210-B5A1-5DF3C7AD73E2}">
      <dsp:nvSpPr>
        <dsp:cNvPr id="0" name=""/>
        <dsp:cNvSpPr/>
      </dsp:nvSpPr>
      <dsp:spPr>
        <a:xfrm>
          <a:off x="99031" y="957784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077731" y="2325139"/>
          <a:ext cx="3545264" cy="1185483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5,870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77731" y="2325139"/>
        <a:ext cx="3545264" cy="1185483"/>
      </dsp:txXfrm>
    </dsp:sp>
    <dsp:sp modelId="{CD780C04-D85D-449B-8D03-46DE662BA124}">
      <dsp:nvSpPr>
        <dsp:cNvPr id="0" name=""/>
        <dsp:cNvSpPr/>
      </dsp:nvSpPr>
      <dsp:spPr>
        <a:xfrm>
          <a:off x="633548" y="2356497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029444" y="3697276"/>
          <a:ext cx="3545264" cy="123863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129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29444" y="3697276"/>
        <a:ext cx="3545264" cy="1238634"/>
      </dsp:txXfrm>
    </dsp:sp>
    <dsp:sp modelId="{EBA4D1AD-9C90-4F05-80BA-0EC31E42A995}">
      <dsp:nvSpPr>
        <dsp:cNvPr id="0" name=""/>
        <dsp:cNvSpPr/>
      </dsp:nvSpPr>
      <dsp:spPr>
        <a:xfrm>
          <a:off x="633548" y="3755210"/>
          <a:ext cx="1165392" cy="1165392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81727" y="5091896"/>
          <a:ext cx="4079781" cy="1289445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40024" tIns="40640" rIns="40640" bIns="4064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81727" y="5091896"/>
        <a:ext cx="4079781" cy="1289445"/>
      </dsp:txXfrm>
    </dsp:sp>
    <dsp:sp modelId="{4AED929F-9262-44C6-BC99-B91744692A58}">
      <dsp:nvSpPr>
        <dsp:cNvPr id="0" name=""/>
        <dsp:cNvSpPr/>
      </dsp:nvSpPr>
      <dsp:spPr>
        <a:xfrm>
          <a:off x="185026" y="5278247"/>
          <a:ext cx="993403" cy="916744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14</cp:revision>
  <dcterms:created xsi:type="dcterms:W3CDTF">2022-08-03T21:48:00Z</dcterms:created>
  <dcterms:modified xsi:type="dcterms:W3CDTF">2022-08-08T15:27:00Z</dcterms:modified>
</cp:coreProperties>
</file>