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465456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83050" cy="23088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465456">
        <w:rPr>
          <w:rFonts w:ascii="Arial" w:hAnsi="Arial" w:cs="Arial"/>
          <w:b/>
          <w:bCs/>
          <w:sz w:val="44"/>
        </w:rPr>
        <w:t>Mayo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465456">
        <w:rPr>
          <w:rFonts w:ascii="Arial" w:hAnsi="Arial" w:cs="Arial"/>
          <w:b/>
          <w:bCs/>
          <w:lang w:val="es-NI"/>
        </w:rPr>
        <w:t>Mayo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4260B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4FC23012" wp14:editId="0E28879E">
            <wp:extent cx="5395865" cy="2743200"/>
            <wp:effectExtent l="0" t="0" r="1460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0614C0">
        <w:rPr>
          <w:rFonts w:ascii="Arial" w:hAnsi="Arial" w:cs="Arial"/>
          <w:color w:val="000000" w:themeColor="text1"/>
          <w:sz w:val="24"/>
          <w:lang w:val="es-NI"/>
        </w:rPr>
        <w:t xml:space="preserve">mes de Mayo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</w:t>
      </w:r>
      <w:r w:rsidR="000614C0">
        <w:rPr>
          <w:rFonts w:ascii="Arial" w:hAnsi="Arial" w:cs="Arial"/>
          <w:color w:val="000000" w:themeColor="text1"/>
          <w:sz w:val="24"/>
          <w:lang w:val="es-NI"/>
        </w:rPr>
        <w:t>2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segundo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0614C0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ascenso de casos que no llegó a la misma incidencia de casos al compararlo con la curva del año 202</w:t>
      </w:r>
      <w:r w:rsidR="000614C0">
        <w:rPr>
          <w:rFonts w:ascii="Arial" w:hAnsi="Arial" w:cs="Arial"/>
          <w:color w:val="000000" w:themeColor="text1"/>
          <w:sz w:val="24"/>
          <w:lang w:val="es-MX"/>
        </w:rPr>
        <w:t>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0614C0">
        <w:rPr>
          <w:rFonts w:ascii="Arial" w:hAnsi="Arial" w:cs="Arial"/>
          <w:color w:val="000000" w:themeColor="text1"/>
          <w:sz w:val="24"/>
          <w:lang w:val="es-MX"/>
        </w:rPr>
        <w:t>3.3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0614C0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0614C0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14C0" w:rsidRDefault="000614C0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202B48">
        <w:rPr>
          <w:rFonts w:ascii="Arial" w:eastAsia="Calibri" w:hAnsi="Arial" w:cs="Arial"/>
          <w:sz w:val="24"/>
          <w:szCs w:val="22"/>
          <w:lang w:val="es-NI" w:eastAsia="en-US"/>
        </w:rPr>
        <w:t xml:space="preserve"> el municipio de Nandaime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 que tienen mayor movilidad poblacional por diversas actividades</w:t>
      </w:r>
      <w:r w:rsidR="00202B48">
        <w:rPr>
          <w:rFonts w:ascii="Arial" w:eastAsia="Calibri" w:hAnsi="Arial" w:cs="Arial"/>
          <w:sz w:val="24"/>
          <w:szCs w:val="22"/>
          <w:lang w:val="es-NI" w:eastAsia="en-US"/>
        </w:rPr>
        <w:t xml:space="preserve"> y estar junto a la carretera panamericana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9D4ED6">
        <w:rPr>
          <w:rFonts w:ascii="Arial" w:eastAsia="Calibri" w:hAnsi="Arial" w:cs="Arial"/>
          <w:sz w:val="24"/>
          <w:szCs w:val="22"/>
          <w:lang w:val="es-NI" w:eastAsia="en-US"/>
        </w:rPr>
        <w:t>2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</w:t>
      </w:r>
      <w:r w:rsidR="009D4ED6">
        <w:rPr>
          <w:rFonts w:ascii="Arial" w:eastAsia="Calibri" w:hAnsi="Arial" w:cs="Arial"/>
          <w:sz w:val="24"/>
          <w:szCs w:val="22"/>
          <w:lang w:val="es-NI" w:eastAsia="en-US"/>
        </w:rPr>
        <w:t xml:space="preserve"> a 64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9D4ED6">
        <w:rPr>
          <w:rFonts w:ascii="Arial" w:eastAsia="Calibri" w:hAnsi="Arial" w:cs="Arial"/>
          <w:sz w:val="24"/>
          <w:szCs w:val="22"/>
          <w:lang w:val="es-NI" w:eastAsia="en-US"/>
        </w:rPr>
        <w:t>6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</w:t>
      </w:r>
      <w:r w:rsidR="009D4ED6">
        <w:rPr>
          <w:rFonts w:ascii="Arial" w:eastAsia="Calibri" w:hAnsi="Arial" w:cs="Arial"/>
          <w:sz w:val="24"/>
          <w:szCs w:val="22"/>
          <w:lang w:val="es-NI" w:eastAsia="en-US"/>
        </w:rPr>
        <w:t xml:space="preserve"> a 64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 lo cual se asoció a factores de riesgo para desarrollar cuadros graves de la enfermedad.</w:t>
      </w:r>
    </w:p>
    <w:p w:rsidR="00F01206" w:rsidRDefault="00510C29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1F25BAB1" wp14:editId="7CC875F2">
            <wp:extent cx="5612130" cy="4364990"/>
            <wp:effectExtent l="0" t="0" r="266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D4ED6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9D4ED6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9D4ED6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es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9D4ED6">
        <w:rPr>
          <w:rFonts w:ascii="Arial" w:hAnsi="Arial" w:cs="Arial"/>
          <w:sz w:val="24"/>
          <w:lang w:val="es-NI"/>
        </w:rPr>
        <w:t>Mes de mayo</w:t>
      </w:r>
      <w:r w:rsidRPr="009C3318">
        <w:rPr>
          <w:rFonts w:ascii="Arial" w:hAnsi="Arial" w:cs="Arial"/>
          <w:sz w:val="24"/>
          <w:lang w:val="es-NI"/>
        </w:rPr>
        <w:t xml:space="preserve"> del año 202</w:t>
      </w:r>
      <w:r w:rsidR="009D4ED6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 w:rsidR="009D4ED6">
        <w:rPr>
          <w:rFonts w:ascii="Arial" w:hAnsi="Arial" w:cs="Arial"/>
          <w:sz w:val="24"/>
          <w:lang w:val="es-NI"/>
        </w:rPr>
        <w:t>, se mantuvieron por las acciones de nuestro modelo de salud familiar comunitario.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9D4ED6">
        <w:rPr>
          <w:rFonts w:ascii="Arial" w:hAnsi="Arial" w:cs="Arial"/>
          <w:b/>
          <w:sz w:val="24"/>
          <w:lang w:val="es-NI"/>
        </w:rPr>
        <w:t>2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B37C4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37C4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</w:t>
      </w:r>
      <w:r w:rsidR="00B64DB3">
        <w:rPr>
          <w:rFonts w:ascii="Arial" w:hAnsi="Arial" w:cs="Arial"/>
          <w:sz w:val="20"/>
          <w:szCs w:val="20"/>
          <w:lang w:val="es-NI"/>
        </w:rPr>
        <w:t>1</w:t>
      </w:r>
      <w:r w:rsidR="00163689">
        <w:rPr>
          <w:rFonts w:ascii="Arial" w:hAnsi="Arial" w:cs="Arial"/>
          <w:sz w:val="20"/>
          <w:szCs w:val="20"/>
          <w:lang w:val="es-NI"/>
        </w:rPr>
        <w:t>-202</w:t>
      </w:r>
      <w:r w:rsidR="00B64DB3">
        <w:rPr>
          <w:rFonts w:ascii="Arial" w:hAnsi="Arial" w:cs="Arial"/>
          <w:sz w:val="20"/>
          <w:szCs w:val="20"/>
          <w:lang w:val="es-NI"/>
        </w:rPr>
        <w:t>2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7062AF" w:rsidP="007062AF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7062AF" w:rsidP="007062AF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7062AF" w:rsidP="007062AF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7062AF" w:rsidP="007062AF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3.14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5329C" w:rsidP="0045329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45329C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5329C" w:rsidP="0045329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45329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45329C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45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772A14" w:rsidP="00772A1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772A14" w:rsidP="00772A1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772A14" w:rsidP="00772A1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772A1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772A1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C4A42" w:rsidP="000C4A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C4A42" w:rsidP="000C4A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2510DF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46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0C4A42" w:rsidP="000C4A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0C4A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0C4A4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0C4A42" w:rsidP="000C4A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0C4A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0C4A4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65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65773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6577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65773" w:rsidP="00B6577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6577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9D4ED6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 w:rsidR="009D4ED6">
        <w:rPr>
          <w:rFonts w:ascii="Arial" w:hAnsi="Arial" w:cs="Arial"/>
          <w:sz w:val="24"/>
          <w:lang w:val="es-NI"/>
        </w:rPr>
        <w:t>0.65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9D4ED6">
        <w:rPr>
          <w:rFonts w:ascii="Arial" w:hAnsi="Arial" w:cs="Arial"/>
          <w:sz w:val="24"/>
          <w:lang w:val="es-NI"/>
        </w:rPr>
        <w:t>los</w:t>
      </w:r>
      <w:proofErr w:type="gramEnd"/>
      <w:r w:rsidR="009D4ED6">
        <w:rPr>
          <w:rFonts w:ascii="Arial" w:hAnsi="Arial" w:cs="Arial"/>
          <w:sz w:val="24"/>
          <w:lang w:val="es-NI"/>
        </w:rPr>
        <w:t xml:space="preserve"> municipios de Diria y Nandaime 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9D4ED6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lo que equivale aproximadamente al </w:t>
      </w:r>
      <w:r w:rsidR="009D4ED6">
        <w:rPr>
          <w:rFonts w:ascii="Arial" w:hAnsi="Arial" w:cs="Arial"/>
          <w:sz w:val="24"/>
          <w:lang w:val="es-NI"/>
        </w:rPr>
        <w:t>50</w:t>
      </w:r>
      <w:r w:rsidRPr="009044DC">
        <w:rPr>
          <w:rFonts w:ascii="Arial" w:hAnsi="Arial" w:cs="Arial"/>
          <w:sz w:val="24"/>
          <w:lang w:val="es-NI"/>
        </w:rPr>
        <w:t xml:space="preserve">% del territorio </w:t>
      </w:r>
      <w:r w:rsidR="009D4ED6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lastRenderedPageBreak/>
        <w:t xml:space="preserve">La tasa </w:t>
      </w:r>
      <w:r w:rsidR="009D4ED6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primer semestre por COVID-19 fue de 0.0</w:t>
      </w:r>
      <w:r w:rsidR="009D4ED6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9443FA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3FA" w:rsidRPr="0008225B" w:rsidRDefault="009443FA" w:rsidP="009443F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43FA" w:rsidRPr="00302454" w:rsidRDefault="009443FA" w:rsidP="009443F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43FA" w:rsidRPr="00302454" w:rsidRDefault="009443FA" w:rsidP="009443F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43FA" w:rsidRPr="00302454" w:rsidRDefault="009443FA" w:rsidP="009443F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43FA" w:rsidRPr="00302454" w:rsidRDefault="009443FA" w:rsidP="009443F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3.14</w:t>
            </w:r>
          </w:p>
        </w:tc>
      </w:tr>
      <w:tr w:rsidR="009443FA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3FA" w:rsidRPr="0008225B" w:rsidRDefault="009443FA" w:rsidP="009443F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</w:tr>
      <w:tr w:rsidR="009443FA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3FA" w:rsidRPr="0008225B" w:rsidRDefault="009443FA" w:rsidP="009443F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</w:tr>
      <w:tr w:rsidR="009443FA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3FA" w:rsidRPr="0008225B" w:rsidRDefault="009443FA" w:rsidP="009443F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1.46</w:t>
            </w:r>
          </w:p>
        </w:tc>
      </w:tr>
      <w:tr w:rsidR="009443FA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9443FA" w:rsidRPr="0008225B" w:rsidRDefault="009443FA" w:rsidP="009443F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9443FA" w:rsidRPr="008F0EF9" w:rsidRDefault="009443FA" w:rsidP="009443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0.65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006D6"/>
    <w:rsid w:val="000107AE"/>
    <w:rsid w:val="00040ACE"/>
    <w:rsid w:val="0004759F"/>
    <w:rsid w:val="0006067C"/>
    <w:rsid w:val="000614C0"/>
    <w:rsid w:val="00062BE5"/>
    <w:rsid w:val="0008225B"/>
    <w:rsid w:val="00084268"/>
    <w:rsid w:val="00087F2D"/>
    <w:rsid w:val="0009438E"/>
    <w:rsid w:val="000B2584"/>
    <w:rsid w:val="000C4A42"/>
    <w:rsid w:val="000E70C1"/>
    <w:rsid w:val="001105DF"/>
    <w:rsid w:val="001228E6"/>
    <w:rsid w:val="00152F78"/>
    <w:rsid w:val="00163689"/>
    <w:rsid w:val="001712A5"/>
    <w:rsid w:val="001746B7"/>
    <w:rsid w:val="001A6A62"/>
    <w:rsid w:val="001C37A4"/>
    <w:rsid w:val="001C3845"/>
    <w:rsid w:val="001D0373"/>
    <w:rsid w:val="001F5D91"/>
    <w:rsid w:val="00202B48"/>
    <w:rsid w:val="00216F91"/>
    <w:rsid w:val="00234A3A"/>
    <w:rsid w:val="00237C18"/>
    <w:rsid w:val="002510DF"/>
    <w:rsid w:val="00253CEE"/>
    <w:rsid w:val="00263E79"/>
    <w:rsid w:val="00271188"/>
    <w:rsid w:val="002A355F"/>
    <w:rsid w:val="002B12F4"/>
    <w:rsid w:val="002B5992"/>
    <w:rsid w:val="002C2A0D"/>
    <w:rsid w:val="002D36AB"/>
    <w:rsid w:val="002E0650"/>
    <w:rsid w:val="002F0DAC"/>
    <w:rsid w:val="002F1421"/>
    <w:rsid w:val="00302454"/>
    <w:rsid w:val="00314588"/>
    <w:rsid w:val="00325267"/>
    <w:rsid w:val="003307F6"/>
    <w:rsid w:val="00334C1B"/>
    <w:rsid w:val="00356D15"/>
    <w:rsid w:val="00373108"/>
    <w:rsid w:val="00376BA3"/>
    <w:rsid w:val="00392CA7"/>
    <w:rsid w:val="003A1123"/>
    <w:rsid w:val="003C30A2"/>
    <w:rsid w:val="003D2849"/>
    <w:rsid w:val="003D2B83"/>
    <w:rsid w:val="003D4B6D"/>
    <w:rsid w:val="003E5A59"/>
    <w:rsid w:val="003F1579"/>
    <w:rsid w:val="003F6386"/>
    <w:rsid w:val="004260B2"/>
    <w:rsid w:val="00440F91"/>
    <w:rsid w:val="00450C4D"/>
    <w:rsid w:val="0045329C"/>
    <w:rsid w:val="00465456"/>
    <w:rsid w:val="0048066E"/>
    <w:rsid w:val="00486CB8"/>
    <w:rsid w:val="00495DD0"/>
    <w:rsid w:val="004C1F5D"/>
    <w:rsid w:val="004C76FD"/>
    <w:rsid w:val="004D7091"/>
    <w:rsid w:val="004E04FA"/>
    <w:rsid w:val="004E13D3"/>
    <w:rsid w:val="005008F9"/>
    <w:rsid w:val="00510C29"/>
    <w:rsid w:val="005113AB"/>
    <w:rsid w:val="00527415"/>
    <w:rsid w:val="005365EE"/>
    <w:rsid w:val="00547D37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65389"/>
    <w:rsid w:val="00697546"/>
    <w:rsid w:val="006A3033"/>
    <w:rsid w:val="006A4896"/>
    <w:rsid w:val="006B09A4"/>
    <w:rsid w:val="006F23BA"/>
    <w:rsid w:val="007062AF"/>
    <w:rsid w:val="0075175A"/>
    <w:rsid w:val="00763662"/>
    <w:rsid w:val="00772A14"/>
    <w:rsid w:val="007941E9"/>
    <w:rsid w:val="007B2CC7"/>
    <w:rsid w:val="007E6452"/>
    <w:rsid w:val="008252E3"/>
    <w:rsid w:val="008601EA"/>
    <w:rsid w:val="00890E06"/>
    <w:rsid w:val="008965EC"/>
    <w:rsid w:val="008D1E75"/>
    <w:rsid w:val="008E763E"/>
    <w:rsid w:val="008F0D80"/>
    <w:rsid w:val="008F0EF9"/>
    <w:rsid w:val="008F15F4"/>
    <w:rsid w:val="009045E1"/>
    <w:rsid w:val="009155F5"/>
    <w:rsid w:val="00920C23"/>
    <w:rsid w:val="00933EBB"/>
    <w:rsid w:val="009443FA"/>
    <w:rsid w:val="00971F40"/>
    <w:rsid w:val="00986D33"/>
    <w:rsid w:val="009A6A8E"/>
    <w:rsid w:val="009D4ED6"/>
    <w:rsid w:val="009E1B3F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37C40"/>
    <w:rsid w:val="00B412ED"/>
    <w:rsid w:val="00B52E86"/>
    <w:rsid w:val="00B64DB3"/>
    <w:rsid w:val="00B65773"/>
    <w:rsid w:val="00B87A91"/>
    <w:rsid w:val="00BA4DC6"/>
    <w:rsid w:val="00BA5093"/>
    <w:rsid w:val="00BB78EF"/>
    <w:rsid w:val="00BC3365"/>
    <w:rsid w:val="00BC74FE"/>
    <w:rsid w:val="00BE74D4"/>
    <w:rsid w:val="00BF228A"/>
    <w:rsid w:val="00C07050"/>
    <w:rsid w:val="00C10613"/>
    <w:rsid w:val="00C45E33"/>
    <w:rsid w:val="00C544AA"/>
    <w:rsid w:val="00C62005"/>
    <w:rsid w:val="00CB1E3D"/>
    <w:rsid w:val="00CC1FDA"/>
    <w:rsid w:val="00D06861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3B34"/>
    <w:rsid w:val="00DA472B"/>
    <w:rsid w:val="00DA7A2D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C1F61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36C522-68D4-4BD7-A8E3-8536A9F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4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2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05946400"/>
        <c:axId val="-190596000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05946400"/>
        <c:axId val="-1905960000"/>
      </c:lineChart>
      <c:catAx>
        <c:axId val="-190594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-1905960000"/>
        <c:crosses val="autoZero"/>
        <c:auto val="1"/>
        <c:lblAlgn val="ctr"/>
        <c:lblOffset val="100"/>
        <c:noMultiLvlLbl val="0"/>
      </c:catAx>
      <c:valAx>
        <c:axId val="-1905960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190594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0.27</c:v>
                </c:pt>
                <c:pt idx="1">
                  <c:v>0.45</c:v>
                </c:pt>
                <c:pt idx="2">
                  <c:v>0.09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1869323088"/>
        <c:axId val="-1869324176"/>
      </c:barChart>
      <c:catAx>
        <c:axId val="-186932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1869324176"/>
        <c:crosses val="autoZero"/>
        <c:auto val="1"/>
        <c:lblAlgn val="ctr"/>
        <c:lblOffset val="100"/>
        <c:noMultiLvlLbl val="0"/>
      </c:catAx>
      <c:valAx>
        <c:axId val="-186932417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18693230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18º y 21º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[Hoja34]P1!$E$4:$E$15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-0.84338365522476166</c:v>
                </c:pt>
                <c:pt idx="8">
                  <c:v>-2.1043771043771042</c:v>
                </c:pt>
                <c:pt idx="9">
                  <c:v>-12.345679012345679</c:v>
                </c:pt>
                <c:pt idx="10">
                  <c:v>-2.4666995559940803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[Hoja34]P1!$F$4:$F$15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0.946431951542684</c:v>
                </c:pt>
                <c:pt idx="7">
                  <c:v>1.4835694681403457</c:v>
                </c:pt>
                <c:pt idx="8">
                  <c:v>3.7418147801683816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869326352"/>
        <c:axId val="-1869330160"/>
      </c:barChart>
      <c:catAx>
        <c:axId val="-1869326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1869330160"/>
        <c:crosses val="autoZero"/>
        <c:auto val="1"/>
        <c:lblAlgn val="ctr"/>
        <c:lblOffset val="100"/>
        <c:noMultiLvlLbl val="0"/>
      </c:catAx>
      <c:valAx>
        <c:axId val="-186933016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18693263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Acumulado:329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011DCFB3-E7DC-45CF-A65D-BF66BA2A7E26}" type="presOf" srcId="{04043959-B629-4DE8-8315-DF88C31AFAB0}" destId="{0410D381-D05A-4A9A-AF14-15B59EDC2CE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2B43ABCF-CA3D-4BFF-BA68-8B41C21DD683}" type="presOf" srcId="{62096081-9C9D-4636-9D9E-39DE572EE29F}" destId="{6A75484F-6B0A-4CD4-8777-EE2BDC321053}" srcOrd="0" destOrd="1" presId="urn:microsoft.com/office/officeart/2008/layout/VerticalCurvedList"/>
    <dgm:cxn modelId="{E71A240F-36D8-45B1-B51F-934693053205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8DBE852C-58A3-4741-8957-0A9FB86C4805}" type="presOf" srcId="{4D3DA8A8-879B-4BD3-B242-5783B667FE7E}" destId="{0410D381-D05A-4A9A-AF14-15B59EDC2CE6}" srcOrd="0" destOrd="1" presId="urn:microsoft.com/office/officeart/2008/layout/VerticalCurvedList"/>
    <dgm:cxn modelId="{56006455-62C0-4C2A-88DA-55CD60D2B9DF}" type="presOf" srcId="{F843BA36-FBB8-4D33-843E-7F7F78FAD741}" destId="{89D70A02-B222-4417-8773-EAA434DE1AAD}" srcOrd="0" destOrd="1" presId="urn:microsoft.com/office/officeart/2008/layout/VerticalCurvedList"/>
    <dgm:cxn modelId="{ACE0ECED-E846-487C-BCF2-E4203D7E3555}" type="presOf" srcId="{0B79DB07-FEC0-4692-A103-F60B29259690}" destId="{C2F9E7C4-FE48-4ECB-9CBF-4E44E2EAEDA8}" srcOrd="0" destOrd="0" presId="urn:microsoft.com/office/officeart/2008/layout/VerticalCurvedList"/>
    <dgm:cxn modelId="{E699EF58-2B5D-4E6A-9125-F38ECD989790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2919F892-3F12-458D-B21E-BA6ADEA4F43F}" type="presOf" srcId="{75715167-98A1-43AA-BB9F-C8646048B38B}" destId="{F9CBDA24-6466-4970-BEFD-0C117089F9F4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17DD8E2-02A8-4C7C-84CD-21F6DD92C029}" type="presOf" srcId="{677DFF59-DEF3-4FD4-91DD-9882B3D35904}" destId="{89D70A02-B222-4417-8773-EAA434DE1AAD}" srcOrd="0" destOrd="0" presId="urn:microsoft.com/office/officeart/2008/layout/VerticalCurvedList"/>
    <dgm:cxn modelId="{2743783A-91B8-48D4-958D-326C32AFE608}" type="presOf" srcId="{4572347B-FDCC-4D40-955D-0300739469CF}" destId="{6A75484F-6B0A-4CD4-8777-EE2BDC321053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B973387-137B-4BF1-A63E-E534641E7264}" type="presParOf" srcId="{730F9EC8-06F4-4A71-AB00-79739AEB9676}" destId="{B1C57B43-7763-419A-B9C1-F1802D5EF39B}" srcOrd="0" destOrd="0" presId="urn:microsoft.com/office/officeart/2008/layout/VerticalCurvedList"/>
    <dgm:cxn modelId="{EF05E313-7C61-4A70-A486-37A8F25F42BD}" type="presParOf" srcId="{B1C57B43-7763-419A-B9C1-F1802D5EF39B}" destId="{15586FDF-0390-4468-B1B5-223BD080702F}" srcOrd="0" destOrd="0" presId="urn:microsoft.com/office/officeart/2008/layout/VerticalCurvedList"/>
    <dgm:cxn modelId="{F9E6DCFF-7652-4047-A2BE-9A1458EA6CD9}" type="presParOf" srcId="{15586FDF-0390-4468-B1B5-223BD080702F}" destId="{50652805-2BE7-40A3-A165-79560558A992}" srcOrd="0" destOrd="0" presId="urn:microsoft.com/office/officeart/2008/layout/VerticalCurvedList"/>
    <dgm:cxn modelId="{651995A1-7839-458E-B8CA-CA202E7E1265}" type="presParOf" srcId="{15586FDF-0390-4468-B1B5-223BD080702F}" destId="{C2F9E7C4-FE48-4ECB-9CBF-4E44E2EAEDA8}" srcOrd="1" destOrd="0" presId="urn:microsoft.com/office/officeart/2008/layout/VerticalCurvedList"/>
    <dgm:cxn modelId="{9CB6B1B2-91ED-407E-BB9E-52A1FD9A9BDF}" type="presParOf" srcId="{15586FDF-0390-4468-B1B5-223BD080702F}" destId="{C82C4815-06FD-47A4-939A-1FB267516F78}" srcOrd="2" destOrd="0" presId="urn:microsoft.com/office/officeart/2008/layout/VerticalCurvedList"/>
    <dgm:cxn modelId="{3452C063-C17F-4FFF-A84B-46E0B7A82742}" type="presParOf" srcId="{15586FDF-0390-4468-B1B5-223BD080702F}" destId="{0A560CEC-DC95-4ED2-B1EE-FFD7C0E8C1DF}" srcOrd="3" destOrd="0" presId="urn:microsoft.com/office/officeart/2008/layout/VerticalCurvedList"/>
    <dgm:cxn modelId="{99C3DA44-6440-4A68-854E-B0A1A4842AA8}" type="presParOf" srcId="{B1C57B43-7763-419A-B9C1-F1802D5EF39B}" destId="{0410D381-D05A-4A9A-AF14-15B59EDC2CE6}" srcOrd="1" destOrd="0" presId="urn:microsoft.com/office/officeart/2008/layout/VerticalCurvedList"/>
    <dgm:cxn modelId="{7D70C1E4-B72E-4100-B0F2-AAD848467852}" type="presParOf" srcId="{B1C57B43-7763-419A-B9C1-F1802D5EF39B}" destId="{49F37629-B8FA-4356-8347-B8FED195B745}" srcOrd="2" destOrd="0" presId="urn:microsoft.com/office/officeart/2008/layout/VerticalCurvedList"/>
    <dgm:cxn modelId="{CB7BBAA7-E7C9-4904-B512-E82C642D6197}" type="presParOf" srcId="{49F37629-B8FA-4356-8347-B8FED195B745}" destId="{96B94C9A-08A4-4210-B5A1-5DF3C7AD73E2}" srcOrd="0" destOrd="0" presId="urn:microsoft.com/office/officeart/2008/layout/VerticalCurvedList"/>
    <dgm:cxn modelId="{FEA072DE-F9BF-4545-8C1D-B359B974056F}" type="presParOf" srcId="{B1C57B43-7763-419A-B9C1-F1802D5EF39B}" destId="{F9CBDA24-6466-4970-BEFD-0C117089F9F4}" srcOrd="3" destOrd="0" presId="urn:microsoft.com/office/officeart/2008/layout/VerticalCurvedList"/>
    <dgm:cxn modelId="{3A709B8F-91C6-498C-95CF-9AB5C71D935F}" type="presParOf" srcId="{B1C57B43-7763-419A-B9C1-F1802D5EF39B}" destId="{69A9EDD6-5BF7-40AA-825D-8B8E4152B0E8}" srcOrd="4" destOrd="0" presId="urn:microsoft.com/office/officeart/2008/layout/VerticalCurvedList"/>
    <dgm:cxn modelId="{CB07B546-2631-43B6-B002-494C29D02607}" type="presParOf" srcId="{69A9EDD6-5BF7-40AA-825D-8B8E4152B0E8}" destId="{CD780C04-D85D-449B-8D03-46DE662BA124}" srcOrd="0" destOrd="0" presId="urn:microsoft.com/office/officeart/2008/layout/VerticalCurvedList"/>
    <dgm:cxn modelId="{E04F37BD-206C-4382-8733-5505E4D9B65A}" type="presParOf" srcId="{B1C57B43-7763-419A-B9C1-F1802D5EF39B}" destId="{89D70A02-B222-4417-8773-EAA434DE1AAD}" srcOrd="5" destOrd="0" presId="urn:microsoft.com/office/officeart/2008/layout/VerticalCurvedList"/>
    <dgm:cxn modelId="{8497112A-2076-4047-91CF-44253CDE2E87}" type="presParOf" srcId="{B1C57B43-7763-419A-B9C1-F1802D5EF39B}" destId="{19E17D92-41DF-4844-8BA8-2ACDEA294616}" srcOrd="6" destOrd="0" presId="urn:microsoft.com/office/officeart/2008/layout/VerticalCurvedList"/>
    <dgm:cxn modelId="{907FE90C-641D-4062-8966-A05E3B897C30}" type="presParOf" srcId="{19E17D92-41DF-4844-8BA8-2ACDEA294616}" destId="{EBA4D1AD-9C90-4F05-80BA-0EC31E42A995}" srcOrd="0" destOrd="0" presId="urn:microsoft.com/office/officeart/2008/layout/VerticalCurvedList"/>
    <dgm:cxn modelId="{8E2622C4-5140-48AB-847D-F6F68AF00F96}" type="presParOf" srcId="{B1C57B43-7763-419A-B9C1-F1802D5EF39B}" destId="{6A75484F-6B0A-4CD4-8777-EE2BDC321053}" srcOrd="7" destOrd="0" presId="urn:microsoft.com/office/officeart/2008/layout/VerticalCurvedList"/>
    <dgm:cxn modelId="{8CFEF01A-9F6F-4E07-AD40-CBE8C14231F0}" type="presParOf" srcId="{B1C57B43-7763-419A-B9C1-F1802D5EF39B}" destId="{BAA89B27-0DE4-475E-821C-2A3C402EB16C}" srcOrd="8" destOrd="0" presId="urn:microsoft.com/office/officeart/2008/layout/VerticalCurvedList"/>
    <dgm:cxn modelId="{EC35C905-6B30-41C8-BA51-60800F74398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Acumulado:329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4</cp:revision>
  <cp:lastPrinted>2022-02-16T15:39:00Z</cp:lastPrinted>
  <dcterms:created xsi:type="dcterms:W3CDTF">2022-08-18T04:08:00Z</dcterms:created>
  <dcterms:modified xsi:type="dcterms:W3CDTF">2022-08-18T04:14:00Z</dcterms:modified>
</cp:coreProperties>
</file>