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F43CC7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929380" cy="196469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BC74FE">
        <w:rPr>
          <w:rFonts w:ascii="Arial" w:hAnsi="Arial" w:cs="Arial"/>
          <w:b/>
          <w:bCs/>
          <w:sz w:val="44"/>
        </w:rPr>
        <w:t>Ju</w:t>
      </w:r>
      <w:r w:rsidR="00B87A91">
        <w:rPr>
          <w:rFonts w:ascii="Arial" w:hAnsi="Arial" w:cs="Arial"/>
          <w:b/>
          <w:bCs/>
          <w:sz w:val="44"/>
        </w:rPr>
        <w:t>lio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BC74FE">
        <w:rPr>
          <w:rFonts w:ascii="Arial" w:hAnsi="Arial" w:cs="Arial"/>
          <w:b/>
          <w:bCs/>
          <w:lang w:val="es-NI"/>
        </w:rPr>
        <w:t>Ju</w:t>
      </w:r>
      <w:r w:rsidR="00B87A91">
        <w:rPr>
          <w:rFonts w:ascii="Arial" w:hAnsi="Arial" w:cs="Arial"/>
          <w:b/>
          <w:bCs/>
          <w:lang w:val="es-NI"/>
        </w:rPr>
        <w:t>lio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D7648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7755642" wp14:editId="6C14E4E4">
            <wp:extent cx="5893806" cy="2743200"/>
            <wp:effectExtent l="0" t="0" r="1206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497404">
        <w:rPr>
          <w:rFonts w:ascii="Arial" w:hAnsi="Arial" w:cs="Arial"/>
          <w:color w:val="000000" w:themeColor="text1"/>
          <w:sz w:val="24"/>
          <w:lang w:val="es-NI"/>
        </w:rPr>
        <w:t>mes de  Julio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</w:t>
      </w:r>
      <w:r w:rsidR="00497404">
        <w:rPr>
          <w:rFonts w:ascii="Arial" w:hAnsi="Arial" w:cs="Arial"/>
          <w:color w:val="000000" w:themeColor="text1"/>
          <w:sz w:val="24"/>
          <w:lang w:val="es-NI"/>
        </w:rPr>
        <w:t xml:space="preserve">del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segundo año de la pandemia inicia con baja transmisión viral y control de la situación epidemiológica. 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las </w:t>
      </w:r>
      <w:r w:rsidR="00497404">
        <w:rPr>
          <w:rFonts w:ascii="Arial" w:hAnsi="Arial" w:cs="Arial"/>
          <w:color w:val="000000" w:themeColor="text1"/>
          <w:sz w:val="24"/>
          <w:lang w:val="es-NI"/>
        </w:rPr>
        <w:t>últimas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</w:t>
      </w:r>
      <w:r w:rsidR="00497404">
        <w:rPr>
          <w:rFonts w:ascii="Arial" w:hAnsi="Arial" w:cs="Arial"/>
          <w:color w:val="000000" w:themeColor="text1"/>
          <w:sz w:val="24"/>
          <w:lang w:val="es-NI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semanas del año fueron de control </w:t>
      </w:r>
      <w:r w:rsidR="00497404" w:rsidRPr="008F15F4">
        <w:rPr>
          <w:rFonts w:ascii="Arial" w:hAnsi="Arial" w:cs="Arial"/>
          <w:color w:val="000000" w:themeColor="text1"/>
          <w:sz w:val="24"/>
          <w:lang w:val="es-NI"/>
        </w:rPr>
        <w:t>epidemiológico,</w:t>
      </w:r>
      <w:r w:rsidR="00497404">
        <w:rPr>
          <w:rFonts w:ascii="Arial" w:hAnsi="Arial" w:cs="Arial"/>
          <w:color w:val="000000" w:themeColor="text1"/>
          <w:sz w:val="24"/>
          <w:lang w:val="es-NI"/>
        </w:rPr>
        <w:t xml:space="preserve"> aunque los casos se mantengan con comportamiento similar o menor al mes anterior.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497404">
        <w:rPr>
          <w:rFonts w:ascii="Arial" w:hAnsi="Arial" w:cs="Arial"/>
          <w:color w:val="000000" w:themeColor="text1"/>
          <w:sz w:val="24"/>
          <w:lang w:val="es-MX"/>
        </w:rPr>
        <w:t>11.71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497404">
        <w:rPr>
          <w:rFonts w:ascii="Arial" w:hAnsi="Arial" w:cs="Arial"/>
          <w:color w:val="000000" w:themeColor="text1"/>
          <w:sz w:val="24"/>
          <w:lang w:val="es-MX"/>
        </w:rPr>
        <w:t>100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 y una letalidad del </w:t>
      </w:r>
      <w:r w:rsidR="00497404">
        <w:rPr>
          <w:rFonts w:ascii="Arial" w:hAnsi="Arial" w:cs="Arial"/>
          <w:color w:val="000000" w:themeColor="text1"/>
          <w:sz w:val="24"/>
          <w:lang w:val="es-MX"/>
        </w:rPr>
        <w:t>0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497404" w:rsidRDefault="00497404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497404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497404">
        <w:rPr>
          <w:rFonts w:ascii="Arial" w:eastAsia="Calibri" w:hAnsi="Arial" w:cs="Arial"/>
          <w:sz w:val="24"/>
          <w:szCs w:val="22"/>
          <w:lang w:val="es-NI" w:eastAsia="en-US"/>
        </w:rPr>
        <w:t>ser una ciudad turística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En la distribución absoluta de los casos los grupos de edades más afectados fueron los adultos a partir de los de 3</w:t>
      </w:r>
      <w:r w:rsidR="00497404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</w:t>
      </w:r>
      <w:r w:rsidR="00497404">
        <w:rPr>
          <w:rFonts w:ascii="Arial" w:eastAsia="Calibri" w:hAnsi="Arial" w:cs="Arial"/>
          <w:sz w:val="24"/>
          <w:szCs w:val="22"/>
          <w:lang w:val="es-NI" w:eastAsia="en-US"/>
        </w:rPr>
        <w:t xml:space="preserve"> y más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lo cual se asoció a factores de riesgo para desarrollar cuadros graves de la enfermedad.</w:t>
      </w:r>
    </w:p>
    <w:p w:rsidR="00F01206" w:rsidRDefault="00271188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9D46D34" wp14:editId="217970D2">
            <wp:extent cx="5612130" cy="4364990"/>
            <wp:effectExtent l="0" t="0" r="266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enfermedad renal crónica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Pr="00F530A1" w:rsidRDefault="00F530A1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F530A1">
        <w:rPr>
          <w:rFonts w:ascii="Arial" w:hAnsi="Arial" w:cs="Arial"/>
          <w:noProof/>
          <w:sz w:val="24"/>
          <w:lang w:val="es-NI" w:eastAsia="es-NI"/>
        </w:rPr>
        <w:t>No se reporta muerte por covid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497404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497404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sexo más afectado sigue siendo el femenino.</w:t>
      </w:r>
    </w:p>
    <w:p w:rsidR="00497404" w:rsidRDefault="00497404" w:rsidP="00152F78">
      <w:pPr>
        <w:rPr>
          <w:rFonts w:ascii="Arial" w:hAnsi="Arial" w:cs="Arial"/>
          <w:b/>
          <w:sz w:val="28"/>
          <w:lang w:val="es-NI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497404">
        <w:rPr>
          <w:rFonts w:ascii="Arial" w:hAnsi="Arial" w:cs="Arial"/>
          <w:sz w:val="24"/>
          <w:lang w:val="es-NI"/>
        </w:rPr>
        <w:t xml:space="preserve">mes </w:t>
      </w:r>
      <w:r w:rsidR="00EB2BE7">
        <w:rPr>
          <w:rFonts w:ascii="Arial" w:hAnsi="Arial" w:cs="Arial"/>
          <w:sz w:val="24"/>
          <w:lang w:val="es-NI"/>
        </w:rPr>
        <w:t>de</w:t>
      </w:r>
      <w:r w:rsidR="00497404">
        <w:rPr>
          <w:rFonts w:ascii="Arial" w:hAnsi="Arial" w:cs="Arial"/>
          <w:sz w:val="24"/>
          <w:lang w:val="es-NI"/>
        </w:rPr>
        <w:t xml:space="preserve"> julio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497404">
        <w:rPr>
          <w:rFonts w:ascii="Arial" w:hAnsi="Arial" w:cs="Arial"/>
          <w:sz w:val="24"/>
          <w:lang w:val="es-NI"/>
        </w:rPr>
        <w:t>municipios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497404">
        <w:rPr>
          <w:rFonts w:ascii="Arial" w:hAnsi="Arial" w:cs="Arial"/>
          <w:sz w:val="24"/>
          <w:lang w:val="es-NI"/>
        </w:rPr>
        <w:t xml:space="preserve"> o nulos,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30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ED7B92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30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6445B" w:rsidRPr="00152F78" w:rsidTr="0056445B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6445B" w:rsidRPr="00152F78" w:rsidTr="0056445B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6445B" w:rsidRPr="00152F78" w:rsidTr="0056445B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3.61</w:t>
            </w:r>
          </w:p>
        </w:tc>
      </w:tr>
      <w:tr w:rsidR="0056445B" w:rsidRPr="00152F78" w:rsidTr="0056445B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0.87</w:t>
            </w:r>
          </w:p>
        </w:tc>
      </w:tr>
      <w:tr w:rsidR="0056445B" w:rsidRPr="00152F78" w:rsidTr="0056445B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2.44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7941E9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7941E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497404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el </w:t>
      </w:r>
      <w:r w:rsidR="00497404">
        <w:rPr>
          <w:rFonts w:ascii="Arial" w:hAnsi="Arial" w:cs="Arial"/>
          <w:sz w:val="24"/>
          <w:lang w:val="es-NI"/>
        </w:rPr>
        <w:t>mes de Julio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EB2BE7">
        <w:rPr>
          <w:rFonts w:ascii="Arial" w:hAnsi="Arial" w:cs="Arial"/>
          <w:sz w:val="24"/>
          <w:lang w:val="es-NI"/>
        </w:rPr>
        <w:t>2</w:t>
      </w:r>
      <w:r w:rsidRPr="009044DC">
        <w:rPr>
          <w:rFonts w:ascii="Arial" w:hAnsi="Arial" w:cs="Arial"/>
          <w:sz w:val="24"/>
          <w:lang w:val="es-NI"/>
        </w:rPr>
        <w:t>.</w:t>
      </w:r>
      <w:r w:rsidR="00EB2BE7">
        <w:rPr>
          <w:rFonts w:ascii="Arial" w:hAnsi="Arial" w:cs="Arial"/>
          <w:sz w:val="24"/>
          <w:lang w:val="es-NI"/>
        </w:rPr>
        <w:t>44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proofErr w:type="gramStart"/>
      <w:r w:rsidR="00EB2BE7">
        <w:rPr>
          <w:rFonts w:ascii="Arial" w:hAnsi="Arial" w:cs="Arial"/>
          <w:sz w:val="24"/>
          <w:lang w:val="es-NI"/>
        </w:rPr>
        <w:t>el</w:t>
      </w:r>
      <w:proofErr w:type="gramEnd"/>
      <w:r w:rsidR="00EB2BE7">
        <w:rPr>
          <w:rFonts w:ascii="Arial" w:hAnsi="Arial" w:cs="Arial"/>
          <w:sz w:val="24"/>
          <w:lang w:val="es-NI"/>
        </w:rPr>
        <w:t xml:space="preserve"> municipio de granada</w:t>
      </w:r>
      <w:r w:rsidRPr="009044DC">
        <w:rPr>
          <w:rFonts w:ascii="Arial" w:hAnsi="Arial" w:cs="Arial"/>
          <w:sz w:val="24"/>
          <w:lang w:val="es-NI"/>
        </w:rPr>
        <w:t xml:space="preserve"> se ubica por encima de la tasa </w:t>
      </w:r>
      <w:r w:rsidR="00EB2BE7">
        <w:rPr>
          <w:rFonts w:ascii="Arial" w:hAnsi="Arial" w:cs="Arial"/>
          <w:sz w:val="24"/>
          <w:lang w:val="es-NI"/>
        </w:rPr>
        <w:lastRenderedPageBreak/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lo que equivale aproximadamente al </w:t>
      </w:r>
      <w:r w:rsidR="00EB2BE7">
        <w:rPr>
          <w:rFonts w:ascii="Arial" w:hAnsi="Arial" w:cs="Arial"/>
          <w:sz w:val="24"/>
          <w:lang w:val="es-NI"/>
        </w:rPr>
        <w:t>25</w:t>
      </w:r>
      <w:r w:rsidRPr="009044DC">
        <w:rPr>
          <w:rFonts w:ascii="Arial" w:hAnsi="Arial" w:cs="Arial"/>
          <w:sz w:val="24"/>
          <w:lang w:val="es-NI"/>
        </w:rPr>
        <w:t xml:space="preserve">% del territorio </w:t>
      </w:r>
      <w:r w:rsidR="00EB2BE7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EB2BE7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 de mortalidad en el </w:t>
      </w:r>
      <w:r w:rsidR="00EB2BE7">
        <w:rPr>
          <w:rFonts w:ascii="Arial" w:hAnsi="Arial" w:cs="Arial"/>
          <w:sz w:val="24"/>
          <w:lang w:val="es-NI"/>
        </w:rPr>
        <w:t>mes de Julio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EB2BE7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bookmarkStart w:id="0" w:name="_GoBack"/>
      <w:bookmarkEnd w:id="0"/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56445B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45B" w:rsidRPr="0008225B" w:rsidRDefault="0056445B" w:rsidP="0056445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644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08225B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5644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08225B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3.61</w:t>
            </w:r>
          </w:p>
        </w:tc>
      </w:tr>
      <w:tr w:rsidR="005644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08225B" w:rsidRDefault="0056445B" w:rsidP="005644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0.87</w:t>
            </w:r>
          </w:p>
        </w:tc>
      </w:tr>
      <w:tr w:rsidR="0056445B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6445B" w:rsidRPr="0008225B" w:rsidRDefault="0056445B" w:rsidP="005644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6445B" w:rsidRPr="00152F78" w:rsidRDefault="0056445B" w:rsidP="005644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2.44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107AE"/>
    <w:rsid w:val="0006067C"/>
    <w:rsid w:val="0008225B"/>
    <w:rsid w:val="00084268"/>
    <w:rsid w:val="00087F2D"/>
    <w:rsid w:val="0009438E"/>
    <w:rsid w:val="000B2584"/>
    <w:rsid w:val="00152F78"/>
    <w:rsid w:val="00163689"/>
    <w:rsid w:val="001712A5"/>
    <w:rsid w:val="001C37A4"/>
    <w:rsid w:val="001C3845"/>
    <w:rsid w:val="001D0373"/>
    <w:rsid w:val="001F5D91"/>
    <w:rsid w:val="00237C18"/>
    <w:rsid w:val="00253CEE"/>
    <w:rsid w:val="00271188"/>
    <w:rsid w:val="002A355F"/>
    <w:rsid w:val="002B12F4"/>
    <w:rsid w:val="002B5992"/>
    <w:rsid w:val="002D36AB"/>
    <w:rsid w:val="002E0650"/>
    <w:rsid w:val="002F1421"/>
    <w:rsid w:val="003307F6"/>
    <w:rsid w:val="00373108"/>
    <w:rsid w:val="003D2B83"/>
    <w:rsid w:val="003E5A59"/>
    <w:rsid w:val="003F6386"/>
    <w:rsid w:val="00440F91"/>
    <w:rsid w:val="00450C4D"/>
    <w:rsid w:val="00486CB8"/>
    <w:rsid w:val="00497404"/>
    <w:rsid w:val="004C1F5D"/>
    <w:rsid w:val="004D7091"/>
    <w:rsid w:val="004E04FA"/>
    <w:rsid w:val="00527415"/>
    <w:rsid w:val="005365EE"/>
    <w:rsid w:val="0056445B"/>
    <w:rsid w:val="00590D5B"/>
    <w:rsid w:val="005E10AE"/>
    <w:rsid w:val="005E2ECC"/>
    <w:rsid w:val="005E5461"/>
    <w:rsid w:val="0060564F"/>
    <w:rsid w:val="00615130"/>
    <w:rsid w:val="006239C6"/>
    <w:rsid w:val="00697546"/>
    <w:rsid w:val="006B09A4"/>
    <w:rsid w:val="006F23BA"/>
    <w:rsid w:val="0075175A"/>
    <w:rsid w:val="00763662"/>
    <w:rsid w:val="007941E9"/>
    <w:rsid w:val="007B2CC7"/>
    <w:rsid w:val="008252E3"/>
    <w:rsid w:val="00890E06"/>
    <w:rsid w:val="008D1E75"/>
    <w:rsid w:val="008F0D80"/>
    <w:rsid w:val="008F0EF9"/>
    <w:rsid w:val="008F15F4"/>
    <w:rsid w:val="009045E1"/>
    <w:rsid w:val="009155F5"/>
    <w:rsid w:val="00971F40"/>
    <w:rsid w:val="009A6A8E"/>
    <w:rsid w:val="00A12682"/>
    <w:rsid w:val="00A560F9"/>
    <w:rsid w:val="00A75DA3"/>
    <w:rsid w:val="00A921BE"/>
    <w:rsid w:val="00AA7770"/>
    <w:rsid w:val="00AB0D0A"/>
    <w:rsid w:val="00AB60F1"/>
    <w:rsid w:val="00AB7DD0"/>
    <w:rsid w:val="00B33BEC"/>
    <w:rsid w:val="00B35C3F"/>
    <w:rsid w:val="00B412ED"/>
    <w:rsid w:val="00B52E86"/>
    <w:rsid w:val="00B87A91"/>
    <w:rsid w:val="00B95B47"/>
    <w:rsid w:val="00BA4DC6"/>
    <w:rsid w:val="00BA5093"/>
    <w:rsid w:val="00BB78EF"/>
    <w:rsid w:val="00BC3365"/>
    <w:rsid w:val="00BC74FE"/>
    <w:rsid w:val="00BF228A"/>
    <w:rsid w:val="00C45E33"/>
    <w:rsid w:val="00C62005"/>
    <w:rsid w:val="00CB1E3D"/>
    <w:rsid w:val="00D23FB4"/>
    <w:rsid w:val="00D31B8F"/>
    <w:rsid w:val="00D35478"/>
    <w:rsid w:val="00D4296B"/>
    <w:rsid w:val="00D504E3"/>
    <w:rsid w:val="00D57F88"/>
    <w:rsid w:val="00D70572"/>
    <w:rsid w:val="00D725EF"/>
    <w:rsid w:val="00D76483"/>
    <w:rsid w:val="00D927CB"/>
    <w:rsid w:val="00DA472B"/>
    <w:rsid w:val="00DC1B95"/>
    <w:rsid w:val="00DC3627"/>
    <w:rsid w:val="00DD14F0"/>
    <w:rsid w:val="00DD5A40"/>
    <w:rsid w:val="00DF71B6"/>
    <w:rsid w:val="00E25331"/>
    <w:rsid w:val="00E27239"/>
    <w:rsid w:val="00E442D0"/>
    <w:rsid w:val="00E95D0F"/>
    <w:rsid w:val="00EB2BE7"/>
    <w:rsid w:val="00ED7B92"/>
    <w:rsid w:val="00EE429A"/>
    <w:rsid w:val="00F01206"/>
    <w:rsid w:val="00F43191"/>
    <w:rsid w:val="00F43CC7"/>
    <w:rsid w:val="00F501ED"/>
    <w:rsid w:val="00F530A1"/>
    <w:rsid w:val="00F82618"/>
    <w:rsid w:val="00F86011"/>
    <w:rsid w:val="00F91F70"/>
    <w:rsid w:val="00FA1861"/>
    <w:rsid w:val="00FC12FB"/>
    <w:rsid w:val="00FC177C"/>
    <w:rsid w:val="00FD31CF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F0C8E6-2A96-494F-84BB-C84C1D9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56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Hoja2!$B$3:$AJ$3</c:f>
              <c:numCache>
                <c:formatCode>General</c:formatCode>
                <c:ptCount val="3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11</c:v>
                </c:pt>
                <c:pt idx="25">
                  <c:v>17</c:v>
                </c:pt>
                <c:pt idx="26">
                  <c:v>13</c:v>
                </c:pt>
                <c:pt idx="27">
                  <c:v>12</c:v>
                </c:pt>
                <c:pt idx="28">
                  <c:v>8</c:v>
                </c:pt>
                <c:pt idx="2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87839744"/>
        <c:axId val="-787835392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Hoja2!$B$4:$AA$4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87839744"/>
        <c:axId val="-787835392"/>
      </c:lineChart>
      <c:catAx>
        <c:axId val="-78783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-787835392"/>
        <c:crosses val="autoZero"/>
        <c:auto val="1"/>
        <c:lblAlgn val="ctr"/>
        <c:lblOffset val="100"/>
        <c:noMultiLvlLbl val="0"/>
      </c:catAx>
      <c:valAx>
        <c:axId val="-787835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78783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7.0000000000000007E-2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787847904"/>
        <c:axId val="-724800064"/>
      </c:barChart>
      <c:catAx>
        <c:axId val="-78784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724800064"/>
        <c:crosses val="autoZero"/>
        <c:auto val="1"/>
        <c:lblAlgn val="ctr"/>
        <c:lblOffset val="100"/>
        <c:noMultiLvlLbl val="0"/>
      </c:catAx>
      <c:valAx>
        <c:axId val="-7248000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7878479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200"/>
              <a:t>COVID 19 Caso Confirmado
Tasas por Grupos de Edad 
Entre la 27º y 30º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[Hoja56]P1!$B$4:$B$15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[Hoja56]P1!$E$4:$E$15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-0.9874592673052236</c:v>
                </c:pt>
                <c:pt idx="7">
                  <c:v>-4.2169182761238089</c:v>
                </c:pt>
                <c:pt idx="8">
                  <c:v>-2.1043771043771042</c:v>
                </c:pt>
                <c:pt idx="9">
                  <c:v>-6.1728395061728394</c:v>
                </c:pt>
                <c:pt idx="10">
                  <c:v>-9.8667982239763212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[Hoja56]P1!$F$4:$F$15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2.02122283981809</c:v>
                </c:pt>
                <c:pt idx="6">
                  <c:v>2.3660798788567101</c:v>
                </c:pt>
                <c:pt idx="7">
                  <c:v>7.4178473407017282</c:v>
                </c:pt>
                <c:pt idx="8">
                  <c:v>11.225444340505145</c:v>
                </c:pt>
                <c:pt idx="9">
                  <c:v>5.2328623757195185</c:v>
                </c:pt>
                <c:pt idx="10">
                  <c:v>7.9904115061925687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724809312"/>
        <c:axId val="-724810944"/>
      </c:barChart>
      <c:catAx>
        <c:axId val="-7248093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724810944"/>
        <c:crosses val="autoZero"/>
        <c:auto val="1"/>
        <c:lblAlgn val="ctr"/>
        <c:lblOffset val="100"/>
        <c:noMultiLvlLbl val="0"/>
      </c:catAx>
      <c:valAx>
        <c:axId val="-724810944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7248093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13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Acumulado:350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581297F-90DA-4E8E-8EDF-279F6AB97951}" type="presOf" srcId="{0B79DB07-FEC0-4692-A103-F60B29259690}" destId="{C2F9E7C4-FE48-4ECB-9CBF-4E44E2EAEDA8}" srcOrd="0" destOrd="0" presId="urn:microsoft.com/office/officeart/2008/layout/VerticalCurvedList"/>
    <dgm:cxn modelId="{C534C337-0A70-4974-8458-1BC39F5F1424}" type="presOf" srcId="{04043959-B629-4DE8-8315-DF88C31AFAB0}" destId="{0410D381-D05A-4A9A-AF14-15B59EDC2CE6}" srcOrd="0" destOrd="0" presId="urn:microsoft.com/office/officeart/2008/layout/VerticalCurvedList"/>
    <dgm:cxn modelId="{36D1B5EB-F68C-484E-8561-371EEE0FFE54}" type="presOf" srcId="{73BEB52C-626B-4074-85A0-1C96960ADE8F}" destId="{730F9EC8-06F4-4A71-AB00-79739AEB9676}" srcOrd="0" destOrd="0" presId="urn:microsoft.com/office/officeart/2008/layout/VerticalCurvedList"/>
    <dgm:cxn modelId="{6FDC951A-D32D-48FF-851A-4FA8FC96B1B9}" type="presOf" srcId="{75715167-98A1-43AA-BB9F-C8646048B38B}" destId="{F9CBDA24-6466-4970-BEFD-0C117089F9F4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868F341A-E2D7-46C0-831D-1EAB33590B6E}" type="presOf" srcId="{4572347B-FDCC-4D40-955D-0300739469CF}" destId="{6A75484F-6B0A-4CD4-8777-EE2BDC321053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002A92E-372C-448C-89CA-2C0B2943184E}" type="presOf" srcId="{62096081-9C9D-4636-9D9E-39DE572EE29F}" destId="{6A75484F-6B0A-4CD4-8777-EE2BDC321053}" srcOrd="0" destOrd="1" presId="urn:microsoft.com/office/officeart/2008/layout/VerticalCurvedList"/>
    <dgm:cxn modelId="{2A7DEE28-728A-4349-AB4A-BEFD636563C7}" type="presOf" srcId="{4D3DA8A8-879B-4BD3-B242-5783B667FE7E}" destId="{0410D381-D05A-4A9A-AF14-15B59EDC2CE6}" srcOrd="0" destOrd="1" presId="urn:microsoft.com/office/officeart/2008/layout/VerticalCurvedList"/>
    <dgm:cxn modelId="{DF1B17A3-EA83-428F-AD3D-5C8B2325B3D8}" type="presOf" srcId="{677DFF59-DEF3-4FD4-91DD-9882B3D35904}" destId="{89D70A02-B222-4417-8773-EAA434DE1AAD}" srcOrd="0" destOrd="0" presId="urn:microsoft.com/office/officeart/2008/layout/VerticalCurvedList"/>
    <dgm:cxn modelId="{CADBC4DE-C720-47CF-B4B4-94639D37A818}" type="presOf" srcId="{858CFB1C-108B-460C-B456-0D0BFA519988}" destId="{F9CBDA24-6466-4970-BEFD-0C117089F9F4}" srcOrd="0" destOrd="0" presId="urn:microsoft.com/office/officeart/2008/layout/VerticalCurvedList"/>
    <dgm:cxn modelId="{7B38C03E-285D-4CF3-9F0E-C3DB81CB5699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DF857251-DA88-4C9A-A0BF-17429B54C757}" type="presParOf" srcId="{730F9EC8-06F4-4A71-AB00-79739AEB9676}" destId="{B1C57B43-7763-419A-B9C1-F1802D5EF39B}" srcOrd="0" destOrd="0" presId="urn:microsoft.com/office/officeart/2008/layout/VerticalCurvedList"/>
    <dgm:cxn modelId="{2D289CAB-E9C2-4575-B648-93958B6D48C4}" type="presParOf" srcId="{B1C57B43-7763-419A-B9C1-F1802D5EF39B}" destId="{15586FDF-0390-4468-B1B5-223BD080702F}" srcOrd="0" destOrd="0" presId="urn:microsoft.com/office/officeart/2008/layout/VerticalCurvedList"/>
    <dgm:cxn modelId="{59A9BB81-C8A6-4698-93F6-DD022F774A93}" type="presParOf" srcId="{15586FDF-0390-4468-B1B5-223BD080702F}" destId="{50652805-2BE7-40A3-A165-79560558A992}" srcOrd="0" destOrd="0" presId="urn:microsoft.com/office/officeart/2008/layout/VerticalCurvedList"/>
    <dgm:cxn modelId="{EEE1345D-8232-4A37-8707-E67D09E5CADC}" type="presParOf" srcId="{15586FDF-0390-4468-B1B5-223BD080702F}" destId="{C2F9E7C4-FE48-4ECB-9CBF-4E44E2EAEDA8}" srcOrd="1" destOrd="0" presId="urn:microsoft.com/office/officeart/2008/layout/VerticalCurvedList"/>
    <dgm:cxn modelId="{681B813D-A0C1-4E54-92D1-7044B6D2ABA1}" type="presParOf" srcId="{15586FDF-0390-4468-B1B5-223BD080702F}" destId="{C82C4815-06FD-47A4-939A-1FB267516F78}" srcOrd="2" destOrd="0" presId="urn:microsoft.com/office/officeart/2008/layout/VerticalCurvedList"/>
    <dgm:cxn modelId="{731115E6-E736-4A55-9FDA-46FF80E3A9D7}" type="presParOf" srcId="{15586FDF-0390-4468-B1B5-223BD080702F}" destId="{0A560CEC-DC95-4ED2-B1EE-FFD7C0E8C1DF}" srcOrd="3" destOrd="0" presId="urn:microsoft.com/office/officeart/2008/layout/VerticalCurvedList"/>
    <dgm:cxn modelId="{01FA7F50-F8B7-4061-9D7C-5F79D827BF5D}" type="presParOf" srcId="{B1C57B43-7763-419A-B9C1-F1802D5EF39B}" destId="{0410D381-D05A-4A9A-AF14-15B59EDC2CE6}" srcOrd="1" destOrd="0" presId="urn:microsoft.com/office/officeart/2008/layout/VerticalCurvedList"/>
    <dgm:cxn modelId="{8A7DE488-8FDB-4D4B-846D-E710B19EE48B}" type="presParOf" srcId="{B1C57B43-7763-419A-B9C1-F1802D5EF39B}" destId="{49F37629-B8FA-4356-8347-B8FED195B745}" srcOrd="2" destOrd="0" presId="urn:microsoft.com/office/officeart/2008/layout/VerticalCurvedList"/>
    <dgm:cxn modelId="{EDB6437F-0A69-4AB0-BA21-E5BBBAA04175}" type="presParOf" srcId="{49F37629-B8FA-4356-8347-B8FED195B745}" destId="{96B94C9A-08A4-4210-B5A1-5DF3C7AD73E2}" srcOrd="0" destOrd="0" presId="urn:microsoft.com/office/officeart/2008/layout/VerticalCurvedList"/>
    <dgm:cxn modelId="{EF32920C-E655-4983-A44C-688714C7634D}" type="presParOf" srcId="{B1C57B43-7763-419A-B9C1-F1802D5EF39B}" destId="{F9CBDA24-6466-4970-BEFD-0C117089F9F4}" srcOrd="3" destOrd="0" presId="urn:microsoft.com/office/officeart/2008/layout/VerticalCurvedList"/>
    <dgm:cxn modelId="{88AA240A-0D2C-4FBA-9E7C-FE6E10943221}" type="presParOf" srcId="{B1C57B43-7763-419A-B9C1-F1802D5EF39B}" destId="{69A9EDD6-5BF7-40AA-825D-8B8E4152B0E8}" srcOrd="4" destOrd="0" presId="urn:microsoft.com/office/officeart/2008/layout/VerticalCurvedList"/>
    <dgm:cxn modelId="{60C661AC-483D-4252-86BF-84F50D67BE75}" type="presParOf" srcId="{69A9EDD6-5BF7-40AA-825D-8B8E4152B0E8}" destId="{CD780C04-D85D-449B-8D03-46DE662BA124}" srcOrd="0" destOrd="0" presId="urn:microsoft.com/office/officeart/2008/layout/VerticalCurvedList"/>
    <dgm:cxn modelId="{6D9CAB00-AF2C-47D8-BC18-4524FD086319}" type="presParOf" srcId="{B1C57B43-7763-419A-B9C1-F1802D5EF39B}" destId="{89D70A02-B222-4417-8773-EAA434DE1AAD}" srcOrd="5" destOrd="0" presId="urn:microsoft.com/office/officeart/2008/layout/VerticalCurvedList"/>
    <dgm:cxn modelId="{9F84646C-B3BF-47D9-95A7-7657000B243B}" type="presParOf" srcId="{B1C57B43-7763-419A-B9C1-F1802D5EF39B}" destId="{19E17D92-41DF-4844-8BA8-2ACDEA294616}" srcOrd="6" destOrd="0" presId="urn:microsoft.com/office/officeart/2008/layout/VerticalCurvedList"/>
    <dgm:cxn modelId="{C19D7464-2206-4748-AB28-4DCD37EB796D}" type="presParOf" srcId="{19E17D92-41DF-4844-8BA8-2ACDEA294616}" destId="{EBA4D1AD-9C90-4F05-80BA-0EC31E42A995}" srcOrd="0" destOrd="0" presId="urn:microsoft.com/office/officeart/2008/layout/VerticalCurvedList"/>
    <dgm:cxn modelId="{D633654C-B516-4269-8BB1-4263F896E467}" type="presParOf" srcId="{B1C57B43-7763-419A-B9C1-F1802D5EF39B}" destId="{6A75484F-6B0A-4CD4-8777-EE2BDC321053}" srcOrd="7" destOrd="0" presId="urn:microsoft.com/office/officeart/2008/layout/VerticalCurvedList"/>
    <dgm:cxn modelId="{85DD2D52-702C-41DE-90A9-3A584B43C89F}" type="presParOf" srcId="{B1C57B43-7763-419A-B9C1-F1802D5EF39B}" destId="{BAA89B27-0DE4-475E-821C-2A3C402EB16C}" srcOrd="8" destOrd="0" presId="urn:microsoft.com/office/officeart/2008/layout/VerticalCurvedList"/>
    <dgm:cxn modelId="{E2ACA6C8-03E1-4D9D-82C4-28B474ED6112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Acumulado:350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5</cp:revision>
  <cp:lastPrinted>2022-02-16T15:39:00Z</cp:lastPrinted>
  <dcterms:created xsi:type="dcterms:W3CDTF">2022-08-17T04:26:00Z</dcterms:created>
  <dcterms:modified xsi:type="dcterms:W3CDTF">2022-08-17T04:41:00Z</dcterms:modified>
</cp:coreProperties>
</file>