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39" w:rsidRDefault="00E27239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FE2464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521710" cy="2054860"/>
            <wp:effectExtent l="0" t="0" r="254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FE2464">
        <w:rPr>
          <w:rFonts w:ascii="Arial" w:hAnsi="Arial" w:cs="Arial"/>
          <w:b/>
          <w:bCs/>
          <w:sz w:val="44"/>
        </w:rPr>
        <w:t>Febrero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4127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F86011">
        <w:rPr>
          <w:rFonts w:ascii="Arial" w:hAnsi="Arial" w:cs="Arial"/>
          <w:b/>
          <w:bCs/>
          <w:lang w:val="es-NI"/>
        </w:rPr>
        <w:t>Febrero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763662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0F4C8CB" wp14:editId="79C804A9">
            <wp:extent cx="42291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F853F6">
        <w:rPr>
          <w:rFonts w:ascii="Arial" w:hAnsi="Arial" w:cs="Arial"/>
          <w:color w:val="000000" w:themeColor="text1"/>
          <w:sz w:val="24"/>
          <w:lang w:val="es-NI"/>
        </w:rPr>
        <w:t>mes de febrero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2021, segundo año de la pandemia inicia con baja transmisión viral y control de la situación epidemiológica.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Se observa según la curva epidémica que </w:t>
      </w:r>
      <w:r w:rsidR="00F853F6">
        <w:rPr>
          <w:rFonts w:ascii="Arial" w:hAnsi="Arial" w:cs="Arial"/>
          <w:color w:val="000000" w:themeColor="text1"/>
          <w:sz w:val="24"/>
          <w:lang w:val="es-NI"/>
        </w:rPr>
        <w:t xml:space="preserve"> entre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las semanas </w:t>
      </w:r>
      <w:r w:rsidR="00F853F6">
        <w:rPr>
          <w:rFonts w:ascii="Arial" w:hAnsi="Arial" w:cs="Arial"/>
          <w:color w:val="000000" w:themeColor="text1"/>
          <w:sz w:val="24"/>
          <w:lang w:val="es-NI"/>
        </w:rPr>
        <w:t xml:space="preserve">5 a 7 </w:t>
      </w:r>
      <w:r w:rsidR="0043132D">
        <w:rPr>
          <w:rFonts w:ascii="Arial" w:hAnsi="Arial" w:cs="Arial"/>
          <w:color w:val="000000" w:themeColor="text1"/>
          <w:sz w:val="24"/>
          <w:lang w:val="es-NI"/>
        </w:rPr>
        <w:t>los casos disminuyeron  en un 25% con respecto a enero, ya que fueron de control epidemiológico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 xml:space="preserve">estas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últimas 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>4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 semanas fue de un 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>desc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enso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>1.8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>83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 y una letalidad del 1</w:t>
      </w:r>
      <w:r w:rsidR="0043132D">
        <w:rPr>
          <w:rFonts w:ascii="Arial" w:hAnsi="Arial" w:cs="Arial"/>
          <w:color w:val="000000" w:themeColor="text1"/>
          <w:sz w:val="24"/>
          <w:lang w:val="es-MX"/>
        </w:rPr>
        <w:t>6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1C6767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1C6767">
        <w:rPr>
          <w:rFonts w:ascii="Arial" w:eastAsia="Calibri" w:hAnsi="Arial" w:cs="Arial"/>
          <w:sz w:val="24"/>
          <w:szCs w:val="22"/>
          <w:lang w:val="es-NI" w:eastAsia="en-US"/>
        </w:rPr>
        <w:t xml:space="preserve">ser ciudad </w:t>
      </w:r>
      <w:r w:rsidR="007A6300">
        <w:rPr>
          <w:rFonts w:ascii="Arial" w:eastAsia="Calibri" w:hAnsi="Arial" w:cs="Arial"/>
          <w:sz w:val="24"/>
          <w:szCs w:val="22"/>
          <w:lang w:val="es-NI" w:eastAsia="en-US"/>
        </w:rPr>
        <w:t>turística</w:t>
      </w:r>
      <w:bookmarkStart w:id="0" w:name="_GoBack"/>
      <w:bookmarkEnd w:id="0"/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1C6767">
        <w:rPr>
          <w:rFonts w:ascii="Arial" w:eastAsia="Calibri" w:hAnsi="Arial" w:cs="Arial"/>
          <w:sz w:val="24"/>
          <w:szCs w:val="22"/>
          <w:lang w:val="es-NI" w:eastAsia="en-US"/>
        </w:rPr>
        <w:t>64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 años.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Al analizar la distribución de los casos en tasas por grupos de edades se observa mayor riesgo en los grupos de edades mayores de </w:t>
      </w:r>
      <w:r w:rsidR="001C6767">
        <w:rPr>
          <w:rFonts w:ascii="Arial" w:eastAsia="Calibri" w:hAnsi="Arial" w:cs="Arial"/>
          <w:sz w:val="24"/>
          <w:szCs w:val="22"/>
          <w:lang w:val="es-NI" w:eastAsia="en-US"/>
        </w:rPr>
        <w:t xml:space="preserve">49 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años lo cual se asoció a factores de riesgo para desarrollar cuadros graves de la enfermedad.</w:t>
      </w:r>
    </w:p>
    <w:p w:rsidR="00F01206" w:rsidRDefault="00F0120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763662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980D346" wp14:editId="5E3619C4">
            <wp:extent cx="5612130" cy="4364990"/>
            <wp:effectExtent l="0" t="0" r="26670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co-morbilidades con enfermedades crónicas no transmisibles, </w:t>
      </w:r>
      <w:r w:rsidR="001C6767">
        <w:rPr>
          <w:rFonts w:ascii="Arial" w:hAnsi="Arial" w:cs="Arial"/>
          <w:sz w:val="24"/>
          <w:lang w:val="es-NI"/>
        </w:rPr>
        <w:t>diabetes, Hipertensión</w:t>
      </w:r>
      <w:r w:rsidRPr="0097075D">
        <w:rPr>
          <w:rFonts w:ascii="Arial" w:hAnsi="Arial" w:cs="Arial"/>
          <w:sz w:val="24"/>
          <w:lang w:val="es-NI"/>
        </w:rPr>
        <w:t xml:space="preserve">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105E6463" wp14:editId="103DE456">
            <wp:extent cx="5613149" cy="3413157"/>
            <wp:effectExtent l="0" t="0" r="26035" b="1587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1C6767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fallecido un paciente de 86 años, masculino, del área urbana de granada, con comorbilidades que complicaron su cuadro respiratorio.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1C6767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este mes de febrero los casos confirmados afectaron </w:t>
      </w:r>
      <w:proofErr w:type="spellStart"/>
      <w:proofErr w:type="gramStart"/>
      <w:r>
        <w:rPr>
          <w:rFonts w:ascii="Arial" w:hAnsi="Arial" w:cs="Arial"/>
          <w:sz w:val="24"/>
          <w:lang w:val="es-NI"/>
        </w:rPr>
        <w:t>mas</w:t>
      </w:r>
      <w:proofErr w:type="spellEnd"/>
      <w:proofErr w:type="gramEnd"/>
      <w:r>
        <w:rPr>
          <w:rFonts w:ascii="Arial" w:hAnsi="Arial" w:cs="Arial"/>
          <w:sz w:val="24"/>
          <w:lang w:val="es-NI"/>
        </w:rPr>
        <w:t xml:space="preserve"> al sexo femenino.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1C6767">
        <w:rPr>
          <w:rFonts w:ascii="Arial" w:hAnsi="Arial" w:cs="Arial"/>
          <w:sz w:val="24"/>
          <w:lang w:val="es-NI"/>
        </w:rPr>
        <w:t xml:space="preserve">mes de febrero 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1C6767">
        <w:rPr>
          <w:rFonts w:ascii="Arial" w:hAnsi="Arial" w:cs="Arial"/>
          <w:sz w:val="24"/>
          <w:lang w:val="es-NI"/>
        </w:rPr>
        <w:t xml:space="preserve"> con poca circulación viral, aunque se reporta un fallecido de un anciano de 86 años con comorbilidades que agravaron su cuadro.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F82618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8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F82618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8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12682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A12682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A12682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F8261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F82618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F82618" w:rsidP="00F8261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F826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36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82618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F8261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.10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F826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1C6767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</w:t>
      </w:r>
      <w:r w:rsidR="001C6767">
        <w:rPr>
          <w:rFonts w:ascii="Arial" w:hAnsi="Arial" w:cs="Arial"/>
          <w:sz w:val="24"/>
          <w:lang w:val="es-NI"/>
        </w:rPr>
        <w:t>este mes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1C6767">
        <w:rPr>
          <w:rFonts w:ascii="Arial" w:hAnsi="Arial" w:cs="Arial"/>
          <w:sz w:val="24"/>
          <w:lang w:val="es-NI"/>
        </w:rPr>
        <w:t>0.36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7A6300">
        <w:rPr>
          <w:rFonts w:ascii="Arial" w:hAnsi="Arial" w:cs="Arial"/>
          <w:sz w:val="24"/>
          <w:lang w:val="es-NI"/>
        </w:rPr>
        <w:t>El</w:t>
      </w:r>
      <w:r w:rsidR="001C6767">
        <w:rPr>
          <w:rFonts w:ascii="Arial" w:hAnsi="Arial" w:cs="Arial"/>
          <w:sz w:val="24"/>
          <w:lang w:val="es-NI"/>
        </w:rPr>
        <w:t xml:space="preserve"> municipio </w:t>
      </w:r>
      <w:r w:rsidRPr="009044DC">
        <w:rPr>
          <w:rFonts w:ascii="Arial" w:hAnsi="Arial" w:cs="Arial"/>
          <w:sz w:val="24"/>
          <w:lang w:val="es-NI"/>
        </w:rPr>
        <w:t xml:space="preserve">por encima de la tasa </w:t>
      </w:r>
      <w:r w:rsidR="007A6300">
        <w:rPr>
          <w:rFonts w:ascii="Arial" w:hAnsi="Arial" w:cs="Arial"/>
          <w:sz w:val="24"/>
          <w:lang w:val="es-NI"/>
        </w:rPr>
        <w:t>departamental</w:t>
      </w:r>
      <w:r w:rsidR="001C6767">
        <w:rPr>
          <w:rFonts w:ascii="Arial" w:hAnsi="Arial" w:cs="Arial"/>
          <w:sz w:val="24"/>
          <w:lang w:val="es-NI"/>
        </w:rPr>
        <w:t xml:space="preserve"> es Diriomo con una tasa de 0.89</w:t>
      </w:r>
      <w:r w:rsidRPr="009044DC">
        <w:rPr>
          <w:rFonts w:ascii="Arial" w:hAnsi="Arial" w:cs="Arial"/>
          <w:sz w:val="24"/>
          <w:lang w:val="es-NI"/>
        </w:rPr>
        <w:t xml:space="preserve">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7A6300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de mortalidad en el </w:t>
      </w:r>
      <w:r w:rsidR="007A6300">
        <w:rPr>
          <w:rFonts w:ascii="Arial" w:hAnsi="Arial" w:cs="Arial"/>
          <w:sz w:val="24"/>
          <w:lang w:val="es-NI"/>
        </w:rPr>
        <w:t>mes de febrero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7A6300">
        <w:rPr>
          <w:rFonts w:ascii="Arial" w:hAnsi="Arial" w:cs="Arial"/>
          <w:sz w:val="24"/>
          <w:lang w:val="es-NI"/>
        </w:rPr>
        <w:t>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7A6300">
        <w:rPr>
          <w:rFonts w:ascii="Arial" w:hAnsi="Arial" w:cs="Arial"/>
          <w:sz w:val="24"/>
          <w:lang w:val="es-NI"/>
        </w:rPr>
        <w:t>Perteneciendo el caso al municipio de granada.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NI" w:eastAsia="es-NI"/>
              </w:rPr>
            </w:pPr>
            <w:r w:rsidRPr="0008225B">
              <w:rPr>
                <w:rFonts w:ascii="Arial" w:hAnsi="Arial" w:cs="Arial"/>
                <w:sz w:val="20"/>
                <w:szCs w:val="20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F82618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F8261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89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F82618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F8261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38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F82618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F82618" w:rsidP="00F8261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</w:t>
            </w:r>
            <w:r w:rsidR="00F826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36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</w:p>
    <w:p w:rsidR="0008225B" w:rsidRPr="0008225B" w:rsidRDefault="0008225B" w:rsidP="0008225B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08225B">
        <w:rPr>
          <w:rFonts w:ascii="Arial" w:hAnsi="Arial" w:cs="Arial"/>
          <w:b/>
          <w:color w:val="000000" w:themeColor="text1"/>
          <w:sz w:val="24"/>
        </w:rPr>
        <w:t>Tasa Nacional: 3.75</w:t>
      </w:r>
    </w:p>
    <w:sectPr w:rsidR="0008225B" w:rsidRPr="000822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8225B"/>
    <w:rsid w:val="0009438E"/>
    <w:rsid w:val="00152F78"/>
    <w:rsid w:val="00163689"/>
    <w:rsid w:val="001C6767"/>
    <w:rsid w:val="001D0373"/>
    <w:rsid w:val="001F5D91"/>
    <w:rsid w:val="00237C18"/>
    <w:rsid w:val="002A355F"/>
    <w:rsid w:val="002B5992"/>
    <w:rsid w:val="003307F6"/>
    <w:rsid w:val="00373108"/>
    <w:rsid w:val="003D2B83"/>
    <w:rsid w:val="003F6386"/>
    <w:rsid w:val="0043132D"/>
    <w:rsid w:val="00440F91"/>
    <w:rsid w:val="00450C4D"/>
    <w:rsid w:val="00486CB8"/>
    <w:rsid w:val="004E04FA"/>
    <w:rsid w:val="005365EE"/>
    <w:rsid w:val="00590D5B"/>
    <w:rsid w:val="005E10AE"/>
    <w:rsid w:val="005E5461"/>
    <w:rsid w:val="0060564F"/>
    <w:rsid w:val="006239C6"/>
    <w:rsid w:val="00697546"/>
    <w:rsid w:val="006B09A4"/>
    <w:rsid w:val="006F23BA"/>
    <w:rsid w:val="0075175A"/>
    <w:rsid w:val="00763662"/>
    <w:rsid w:val="007A6300"/>
    <w:rsid w:val="007B2CC7"/>
    <w:rsid w:val="00890E06"/>
    <w:rsid w:val="008D1E75"/>
    <w:rsid w:val="008F0EF9"/>
    <w:rsid w:val="008F15F4"/>
    <w:rsid w:val="009045E1"/>
    <w:rsid w:val="009155F5"/>
    <w:rsid w:val="00971F40"/>
    <w:rsid w:val="009A6A8E"/>
    <w:rsid w:val="00A12682"/>
    <w:rsid w:val="00A560F9"/>
    <w:rsid w:val="00A67FF3"/>
    <w:rsid w:val="00A921BE"/>
    <w:rsid w:val="00AB0D0A"/>
    <w:rsid w:val="00AB60F1"/>
    <w:rsid w:val="00B35C3F"/>
    <w:rsid w:val="00B412ED"/>
    <w:rsid w:val="00BC3365"/>
    <w:rsid w:val="00C45E33"/>
    <w:rsid w:val="00D23FB4"/>
    <w:rsid w:val="00D31B8F"/>
    <w:rsid w:val="00D35478"/>
    <w:rsid w:val="00D504E3"/>
    <w:rsid w:val="00D927CB"/>
    <w:rsid w:val="00E25331"/>
    <w:rsid w:val="00E27239"/>
    <w:rsid w:val="00E95D0F"/>
    <w:rsid w:val="00F01206"/>
    <w:rsid w:val="00F43191"/>
    <w:rsid w:val="00F82618"/>
    <w:rsid w:val="00F853F6"/>
    <w:rsid w:val="00F86011"/>
    <w:rsid w:val="00F91F70"/>
    <w:rsid w:val="00FC12FB"/>
    <w:rsid w:val="00FC177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C9535F-02A3-4E76-8A66-2B6BB89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4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00999808"/>
        <c:axId val="-1091378608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00999808"/>
        <c:axId val="-1091378608"/>
      </c:lineChart>
      <c:catAx>
        <c:axId val="-90099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-1091378608"/>
        <c:crosses val="autoZero"/>
        <c:auto val="1"/>
        <c:lblAlgn val="ctr"/>
        <c:lblOffset val="100"/>
        <c:noMultiLvlLbl val="0"/>
      </c:catAx>
      <c:valAx>
        <c:axId val="-1091378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90099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0%">
                  <c:v>0.67</c:v>
                </c:pt>
                <c:pt idx="1">
                  <c:v>0</c:v>
                </c:pt>
                <c:pt idx="2" formatCode="0%">
                  <c:v>0.33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898681936"/>
        <c:axId val="-892570400"/>
      </c:barChart>
      <c:catAx>
        <c:axId val="-89868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892570400"/>
        <c:crosses val="autoZero"/>
        <c:auto val="1"/>
        <c:lblAlgn val="ctr"/>
        <c:lblOffset val="100"/>
        <c:noMultiLvlLbl val="0"/>
      </c:catAx>
      <c:valAx>
        <c:axId val="-89257040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898681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Tasas por Grupos de Edad 
Entre la 5º y 8º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[Hoja14]P1!$E$4:$E$15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-9.8667982239763212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[Hoja14]P1!$F$4:$F$15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0.74178473407017287</c:v>
                </c:pt>
                <c:pt idx="8">
                  <c:v>0</c:v>
                </c:pt>
                <c:pt idx="9">
                  <c:v>0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892568768"/>
        <c:axId val="-892563328"/>
      </c:barChart>
      <c:catAx>
        <c:axId val="-892568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892563328"/>
        <c:crosses val="autoZero"/>
        <c:auto val="1"/>
        <c:lblAlgn val="ctr"/>
        <c:lblOffset val="100"/>
        <c:noMultiLvlLbl val="0"/>
      </c:catAx>
      <c:valAx>
        <c:axId val="-89256332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8925687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 sz="1000"/>
              <a:t>Muerte por COVID 19 Confirmado
Tasas por Grupos de Edad 
Entre la 5º y 8º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[Hoja14]P2!$E$4:$E$15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-2.4666995559940803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[Hoja14]P2!$F$4:$F$15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892570944"/>
        <c:axId val="-892571488"/>
      </c:barChart>
      <c:catAx>
        <c:axId val="-892570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892571488"/>
        <c:crosses val="autoZero"/>
        <c:auto val="1"/>
        <c:lblAlgn val="ctr"/>
        <c:lblOffset val="100"/>
        <c:noMultiLvlLbl val="0"/>
      </c:catAx>
      <c:valAx>
        <c:axId val="-89257148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89257094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Acumulado:330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1021" custLinFactNeighborY="388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093A64D6-EF51-4178-BF9D-F50327E125AE}" type="presOf" srcId="{62096081-9C9D-4636-9D9E-39DE572EE29F}" destId="{6A75484F-6B0A-4CD4-8777-EE2BDC321053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1062C6A-05D3-46E0-B1CC-504D84B4557C}" type="presOf" srcId="{75715167-98A1-43AA-BB9F-C8646048B38B}" destId="{F9CBDA24-6466-4970-BEFD-0C117089F9F4}" srcOrd="0" destOrd="1" presId="urn:microsoft.com/office/officeart/2008/layout/VerticalCurvedList"/>
    <dgm:cxn modelId="{C33EFEC1-7C8F-4FBE-BD8E-FF2607E6665A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645CAE3D-C4E9-4B7A-8E21-6D543E4AA938}" type="presOf" srcId="{4D3DA8A8-879B-4BD3-B242-5783B667FE7E}" destId="{0410D381-D05A-4A9A-AF14-15B59EDC2CE6}" srcOrd="0" destOrd="1" presId="urn:microsoft.com/office/officeart/2008/layout/VerticalCurvedList"/>
    <dgm:cxn modelId="{2F9BDAD0-D612-4FBA-9E8C-A1E468855CA2}" type="presOf" srcId="{73BEB52C-626B-4074-85A0-1C96960ADE8F}" destId="{730F9EC8-06F4-4A71-AB00-79739AEB9676}" srcOrd="0" destOrd="0" presId="urn:microsoft.com/office/officeart/2008/layout/VerticalCurvedList"/>
    <dgm:cxn modelId="{35F0300B-3FD6-4B08-A61C-7C568F508957}" type="presOf" srcId="{4572347B-FDCC-4D40-955D-0300739469CF}" destId="{6A75484F-6B0A-4CD4-8777-EE2BDC321053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A6CF26FF-FFF5-4A0A-A647-0EFC6F48E945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B60F3E1-7D36-4C01-984F-9765F499E1B3}" type="presOf" srcId="{F843BA36-FBB8-4D33-843E-7F7F78FAD741}" destId="{89D70A02-B222-4417-8773-EAA434DE1AAD}" srcOrd="0" destOrd="1" presId="urn:microsoft.com/office/officeart/2008/layout/VerticalCurvedList"/>
    <dgm:cxn modelId="{F40518D4-A4E2-4E8E-B887-E9904A97BF1F}" type="presOf" srcId="{677DFF59-DEF3-4FD4-91DD-9882B3D35904}" destId="{89D70A02-B222-4417-8773-EAA434DE1AAD}" srcOrd="0" destOrd="0" presId="urn:microsoft.com/office/officeart/2008/layout/VerticalCurvedList"/>
    <dgm:cxn modelId="{79562839-6096-41CF-99B8-47CEF2A0A652}" type="presOf" srcId="{0B79DB07-FEC0-4692-A103-F60B29259690}" destId="{C2F9E7C4-FE48-4ECB-9CBF-4E44E2EAEDA8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85B7AC88-41A2-4AAF-8AC3-3797BE54BF81}" type="presParOf" srcId="{730F9EC8-06F4-4A71-AB00-79739AEB9676}" destId="{B1C57B43-7763-419A-B9C1-F1802D5EF39B}" srcOrd="0" destOrd="0" presId="urn:microsoft.com/office/officeart/2008/layout/VerticalCurvedList"/>
    <dgm:cxn modelId="{0041BD8F-16F5-40F5-93A0-31A3FA40D294}" type="presParOf" srcId="{B1C57B43-7763-419A-B9C1-F1802D5EF39B}" destId="{15586FDF-0390-4468-B1B5-223BD080702F}" srcOrd="0" destOrd="0" presId="urn:microsoft.com/office/officeart/2008/layout/VerticalCurvedList"/>
    <dgm:cxn modelId="{CF032380-576C-45E8-9FEF-471E2F0F2531}" type="presParOf" srcId="{15586FDF-0390-4468-B1B5-223BD080702F}" destId="{50652805-2BE7-40A3-A165-79560558A992}" srcOrd="0" destOrd="0" presId="urn:microsoft.com/office/officeart/2008/layout/VerticalCurvedList"/>
    <dgm:cxn modelId="{72874196-DD8B-4F40-8708-28231649650E}" type="presParOf" srcId="{15586FDF-0390-4468-B1B5-223BD080702F}" destId="{C2F9E7C4-FE48-4ECB-9CBF-4E44E2EAEDA8}" srcOrd="1" destOrd="0" presId="urn:microsoft.com/office/officeart/2008/layout/VerticalCurvedList"/>
    <dgm:cxn modelId="{6130CEDE-08AE-408F-B443-4E6CA2A248DB}" type="presParOf" srcId="{15586FDF-0390-4468-B1B5-223BD080702F}" destId="{C82C4815-06FD-47A4-939A-1FB267516F78}" srcOrd="2" destOrd="0" presId="urn:microsoft.com/office/officeart/2008/layout/VerticalCurvedList"/>
    <dgm:cxn modelId="{5A31FBE1-774D-485D-874D-E9429243C85B}" type="presParOf" srcId="{15586FDF-0390-4468-B1B5-223BD080702F}" destId="{0A560CEC-DC95-4ED2-B1EE-FFD7C0E8C1DF}" srcOrd="3" destOrd="0" presId="urn:microsoft.com/office/officeart/2008/layout/VerticalCurvedList"/>
    <dgm:cxn modelId="{1B99A99F-E26D-4DBD-A64B-576CC05989FE}" type="presParOf" srcId="{B1C57B43-7763-419A-B9C1-F1802D5EF39B}" destId="{0410D381-D05A-4A9A-AF14-15B59EDC2CE6}" srcOrd="1" destOrd="0" presId="urn:microsoft.com/office/officeart/2008/layout/VerticalCurvedList"/>
    <dgm:cxn modelId="{7AA31F5F-8133-42FB-95E5-A3869FC771EF}" type="presParOf" srcId="{B1C57B43-7763-419A-B9C1-F1802D5EF39B}" destId="{49F37629-B8FA-4356-8347-B8FED195B745}" srcOrd="2" destOrd="0" presId="urn:microsoft.com/office/officeart/2008/layout/VerticalCurvedList"/>
    <dgm:cxn modelId="{346C86F2-7F93-4D15-A844-F25C666243C8}" type="presParOf" srcId="{49F37629-B8FA-4356-8347-B8FED195B745}" destId="{96B94C9A-08A4-4210-B5A1-5DF3C7AD73E2}" srcOrd="0" destOrd="0" presId="urn:microsoft.com/office/officeart/2008/layout/VerticalCurvedList"/>
    <dgm:cxn modelId="{A5AF256B-99F9-4BBF-A19B-8953EB006E66}" type="presParOf" srcId="{B1C57B43-7763-419A-B9C1-F1802D5EF39B}" destId="{F9CBDA24-6466-4970-BEFD-0C117089F9F4}" srcOrd="3" destOrd="0" presId="urn:microsoft.com/office/officeart/2008/layout/VerticalCurvedList"/>
    <dgm:cxn modelId="{CCAEED55-73B2-4A15-BC63-BA2DC452821C}" type="presParOf" srcId="{B1C57B43-7763-419A-B9C1-F1802D5EF39B}" destId="{69A9EDD6-5BF7-40AA-825D-8B8E4152B0E8}" srcOrd="4" destOrd="0" presId="urn:microsoft.com/office/officeart/2008/layout/VerticalCurvedList"/>
    <dgm:cxn modelId="{A313D624-54BE-4580-86D3-880FD840CCCC}" type="presParOf" srcId="{69A9EDD6-5BF7-40AA-825D-8B8E4152B0E8}" destId="{CD780C04-D85D-449B-8D03-46DE662BA124}" srcOrd="0" destOrd="0" presId="urn:microsoft.com/office/officeart/2008/layout/VerticalCurvedList"/>
    <dgm:cxn modelId="{33A00853-1C0B-4CF4-889D-7A9DEB8F529A}" type="presParOf" srcId="{B1C57B43-7763-419A-B9C1-F1802D5EF39B}" destId="{89D70A02-B222-4417-8773-EAA434DE1AAD}" srcOrd="5" destOrd="0" presId="urn:microsoft.com/office/officeart/2008/layout/VerticalCurvedList"/>
    <dgm:cxn modelId="{AD46F6E3-104F-4325-AB0A-DC62388F59C2}" type="presParOf" srcId="{B1C57B43-7763-419A-B9C1-F1802D5EF39B}" destId="{19E17D92-41DF-4844-8BA8-2ACDEA294616}" srcOrd="6" destOrd="0" presId="urn:microsoft.com/office/officeart/2008/layout/VerticalCurvedList"/>
    <dgm:cxn modelId="{6C5A6B3B-6918-4BDF-B206-9A8EA4D455F2}" type="presParOf" srcId="{19E17D92-41DF-4844-8BA8-2ACDEA294616}" destId="{EBA4D1AD-9C90-4F05-80BA-0EC31E42A995}" srcOrd="0" destOrd="0" presId="urn:microsoft.com/office/officeart/2008/layout/VerticalCurvedList"/>
    <dgm:cxn modelId="{4267A20D-3FDE-418A-8105-6CE9BB5E0C76}" type="presParOf" srcId="{B1C57B43-7763-419A-B9C1-F1802D5EF39B}" destId="{6A75484F-6B0A-4CD4-8777-EE2BDC321053}" srcOrd="7" destOrd="0" presId="urn:microsoft.com/office/officeart/2008/layout/VerticalCurvedList"/>
    <dgm:cxn modelId="{C481C1B2-E6F4-4481-8DC5-BE5D5693E73F}" type="presParOf" srcId="{B1C57B43-7763-419A-B9C1-F1802D5EF39B}" destId="{BAA89B27-0DE4-475E-821C-2A3C402EB16C}" srcOrd="8" destOrd="0" presId="urn:microsoft.com/office/officeart/2008/layout/VerticalCurvedList"/>
    <dgm:cxn modelId="{2EE4A6AD-4475-4FD5-802A-68C2C14F459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Acumulado:330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90288" y="2627198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90288" y="2627198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2</cp:revision>
  <cp:lastPrinted>2022-02-16T15:39:00Z</cp:lastPrinted>
  <dcterms:created xsi:type="dcterms:W3CDTF">2022-08-17T02:26:00Z</dcterms:created>
  <dcterms:modified xsi:type="dcterms:W3CDTF">2022-08-17T02:26:00Z</dcterms:modified>
</cp:coreProperties>
</file>