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2EDC65A4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E775D0">
        <w:rPr>
          <w:rFonts w:ascii="Courier New" w:hAnsi="Courier New" w:cs="Courier New"/>
          <w:b/>
          <w:bCs/>
          <w:sz w:val="24"/>
          <w:szCs w:val="24"/>
          <w:lang w:val="es-MX"/>
        </w:rPr>
        <w:t>MARZO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3AB36C92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4153162D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2C5E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1127674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2C5E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E775D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6F1D853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E775D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1538B079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F2570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51A02A9" w14:textId="3C3415EA" w:rsidR="002C5E38" w:rsidRPr="002C46F6" w:rsidRDefault="002C5E38" w:rsidP="002C5E38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2C5E38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4A6ED36A" w:rsidR="00CF3AD4" w:rsidRPr="00E4694B" w:rsidRDefault="0046683E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8B17003" wp14:editId="44F0A21F">
            <wp:extent cx="5514975" cy="29051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365E30" w14:textId="16E8A919" w:rsidR="002C5E38" w:rsidRPr="0035640E" w:rsidRDefault="002C5E38" w:rsidP="002C5E38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contiua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una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2AC85E29" w14:textId="4524F2A9" w:rsidR="002C5E38" w:rsidRDefault="002C5E38" w:rsidP="002C5E38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0947AB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0947AB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46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4FF367C5" w14:textId="175A5831" w:rsidR="000521A1" w:rsidRDefault="008F3ECF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7FF5FC28" wp14:editId="65475EC5">
            <wp:extent cx="5705475" cy="3629025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6B5BDB0B-8D84-D6B1-E8B1-38A8E40322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FA93E2" w14:textId="77777777" w:rsidR="002C5E38" w:rsidRPr="00540EA1" w:rsidRDefault="002C5E38" w:rsidP="002C5E38">
      <w:pPr>
        <w:jc w:val="both"/>
        <w:rPr>
          <w:rFonts w:ascii="Courier New" w:hAnsi="Courier New" w:cs="Courier New"/>
          <w:b/>
          <w:lang w:val="es-NI"/>
        </w:rPr>
      </w:pPr>
      <w:bookmarkStart w:id="0" w:name="_Hlk111293599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5B0833FE" w14:textId="77777777" w:rsidR="002C5E38" w:rsidRPr="00540EA1" w:rsidRDefault="002C5E38" w:rsidP="002C5E3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64BF90E1" w14:textId="77777777" w:rsidR="002C5E38" w:rsidRPr="00540EA1" w:rsidRDefault="002C5E38" w:rsidP="002C5E3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24260060" w14:textId="77777777" w:rsidR="002C5E38" w:rsidRDefault="002C5E38" w:rsidP="002C5E3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bookmarkEnd w:id="0"/>
    <w:p w14:paraId="25682E29" w14:textId="28BFAFCA" w:rsidR="0033427F" w:rsidRPr="002C5E38" w:rsidRDefault="0033427F">
      <w:pPr>
        <w:rPr>
          <w:lang w:val="es-NI"/>
        </w:rPr>
      </w:pPr>
    </w:p>
    <w:p w14:paraId="5CC7AA81" w14:textId="09B3BDEB" w:rsidR="0033427F" w:rsidRPr="002C5E38" w:rsidRDefault="0033427F">
      <w:pPr>
        <w:rPr>
          <w:noProof/>
          <w:lang w:val="es-MX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25BF3710" w:rsidR="00FA1F8F" w:rsidRPr="00FA1F8F" w:rsidRDefault="008F3ECF" w:rsidP="00FA1F8F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33B03110" wp14:editId="6A135EC8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7822D7AC-98EB-7BD6-8E70-848655D403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FDB671" w14:textId="563CB234" w:rsidR="002C5E38" w:rsidRPr="00BA27E7" w:rsidRDefault="002C5E38" w:rsidP="002C5E38">
      <w:pPr>
        <w:rPr>
          <w:rFonts w:ascii="Courier New" w:hAnsi="Courier New" w:cs="Courier New"/>
          <w:lang w:val="es-MX"/>
        </w:rPr>
      </w:pPr>
      <w:bookmarkStart w:id="1" w:name="_Hlk111293637"/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</w:t>
      </w:r>
      <w:r w:rsidR="008F627F">
        <w:rPr>
          <w:rFonts w:ascii="Courier New" w:hAnsi="Courier New" w:cs="Courier New"/>
          <w:lang w:val="es-MX"/>
        </w:rPr>
        <w:t xml:space="preserve">este </w:t>
      </w:r>
      <w:r w:rsidR="008F627F" w:rsidRPr="00BA27E7">
        <w:rPr>
          <w:rFonts w:ascii="Courier New" w:hAnsi="Courier New" w:cs="Courier New"/>
          <w:lang w:val="es-MX"/>
        </w:rPr>
        <w:t>mes</w:t>
      </w:r>
      <w:r w:rsidRPr="00BA27E7">
        <w:rPr>
          <w:rFonts w:ascii="Courier New" w:hAnsi="Courier New" w:cs="Courier New"/>
          <w:lang w:val="es-MX"/>
        </w:rPr>
        <w:t xml:space="preserve"> </w:t>
      </w:r>
      <w:r w:rsidR="008F627F">
        <w:rPr>
          <w:rFonts w:ascii="Courier New" w:hAnsi="Courier New" w:cs="Courier New"/>
          <w:lang w:val="es-MX"/>
        </w:rPr>
        <w:t>el caso confirmado</w:t>
      </w:r>
      <w:r>
        <w:rPr>
          <w:rFonts w:ascii="Courier New" w:hAnsi="Courier New" w:cs="Courier New"/>
          <w:lang w:val="es-MX"/>
        </w:rPr>
        <w:t xml:space="preserve">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 xml:space="preserve">sexo </w:t>
      </w:r>
      <w:r w:rsidR="008F627F">
        <w:rPr>
          <w:rFonts w:ascii="Courier New" w:hAnsi="Courier New" w:cs="Courier New"/>
          <w:lang w:val="es-MX"/>
        </w:rPr>
        <w:t>más</w:t>
      </w:r>
      <w:r>
        <w:rPr>
          <w:rFonts w:ascii="Courier New" w:hAnsi="Courier New" w:cs="Courier New"/>
          <w:lang w:val="es-MX"/>
        </w:rPr>
        <w:t xml:space="preserve"> afectado es el femenino</w:t>
      </w:r>
    </w:p>
    <w:bookmarkEnd w:id="1"/>
    <w:p w14:paraId="45A2AE1D" w14:textId="0CFE6DB3" w:rsidR="00FA1F8F" w:rsidRPr="00FA1F8F" w:rsidRDefault="00FA1F8F" w:rsidP="00FA1F8F">
      <w:pPr>
        <w:rPr>
          <w:lang w:val="es-MX"/>
        </w:rPr>
      </w:pPr>
    </w:p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220"/>
        <w:gridCol w:w="1155"/>
        <w:gridCol w:w="1220"/>
        <w:gridCol w:w="1156"/>
      </w:tblGrid>
      <w:tr w:rsidR="00174636" w:rsidRPr="002D15AF" w14:paraId="4A0CE0E1" w14:textId="77777777" w:rsidTr="008F627F">
        <w:trPr>
          <w:trHeight w:val="1996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7BEC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8F627F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8F627F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13º semana epidemiológica</w:t>
            </w:r>
            <w:r w:rsidRPr="008F627F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8F627F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8F627F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174636" w:rsidRPr="008F627F" w14:paraId="31C4A18A" w14:textId="77777777" w:rsidTr="008F627F">
        <w:trPr>
          <w:trHeight w:val="39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F0E7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9F5AD9A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111C523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174636" w:rsidRPr="008F627F" w14:paraId="1EE4A697" w14:textId="77777777" w:rsidTr="008F627F">
        <w:trPr>
          <w:trHeight w:val="31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F75EC18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9EF4111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A9FF5AD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5A0D925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6B73E79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174636" w:rsidRPr="008F627F" w14:paraId="69620101" w14:textId="77777777" w:rsidTr="008F627F">
        <w:trPr>
          <w:trHeight w:val="299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A148" w14:textId="77777777" w:rsidR="00174636" w:rsidRPr="008F627F" w:rsidRDefault="00174636" w:rsidP="00174636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2A5D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F824" w14:textId="77777777" w:rsidR="00174636" w:rsidRPr="008F627F" w:rsidRDefault="00174636" w:rsidP="00174636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6C6C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441EE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1.40</w:t>
            </w:r>
          </w:p>
        </w:tc>
      </w:tr>
      <w:tr w:rsidR="00174636" w:rsidRPr="008F627F" w14:paraId="2920F69A" w14:textId="77777777" w:rsidTr="008F627F">
        <w:trPr>
          <w:trHeight w:val="299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7062" w14:textId="77777777" w:rsidR="00174636" w:rsidRPr="008F627F" w:rsidRDefault="00174636" w:rsidP="00174636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4475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02DD" w14:textId="77777777" w:rsidR="00174636" w:rsidRPr="008F627F" w:rsidRDefault="00174636" w:rsidP="00174636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A145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18466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0.57</w:t>
            </w:r>
          </w:p>
        </w:tc>
      </w:tr>
      <w:tr w:rsidR="00174636" w:rsidRPr="008F627F" w14:paraId="3090DC56" w14:textId="77777777" w:rsidTr="008F627F">
        <w:trPr>
          <w:trHeight w:val="317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0A1389A" w14:textId="77777777" w:rsidR="00174636" w:rsidRPr="008F627F" w:rsidRDefault="00174636" w:rsidP="00174636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40550CC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AF98ED5" w14:textId="77777777" w:rsidR="00174636" w:rsidRPr="008F627F" w:rsidRDefault="00174636" w:rsidP="00174636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2E94A70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AD961FB" w14:textId="77777777" w:rsidR="00174636" w:rsidRPr="008F627F" w:rsidRDefault="00174636" w:rsidP="00174636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8F627F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0.60</w:t>
            </w:r>
          </w:p>
        </w:tc>
      </w:tr>
    </w:tbl>
    <w:p w14:paraId="6E0DC2C2" w14:textId="387E030E" w:rsidR="008F627F" w:rsidRPr="007D1A27" w:rsidRDefault="008F627F" w:rsidP="008F627F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2" w:name="_Hlk111293683"/>
      <w:r w:rsidRPr="007D1A27">
        <w:rPr>
          <w:rFonts w:ascii="Courier New" w:hAnsi="Courier New" w:cs="Courier New"/>
          <w:lang w:val="es-NI"/>
        </w:rPr>
        <w:t>A nivel de departamento la tasa de morbilidad por COVID-19 en este mes fue de 0.</w:t>
      </w:r>
      <w:r>
        <w:rPr>
          <w:rFonts w:ascii="Courier New" w:hAnsi="Courier New" w:cs="Courier New"/>
          <w:lang w:val="es-NI"/>
        </w:rPr>
        <w:t>60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 xml:space="preserve"> En </w:t>
      </w:r>
      <w:r w:rsidRPr="007D1A27">
        <w:rPr>
          <w:rFonts w:ascii="Courier New" w:hAnsi="Courier New" w:cs="Courier New"/>
          <w:lang w:val="es-NI"/>
        </w:rPr>
        <w:t xml:space="preserve">2 municipio del departamento </w:t>
      </w:r>
      <w:r>
        <w:rPr>
          <w:rFonts w:ascii="Courier New" w:hAnsi="Courier New" w:cs="Courier New"/>
          <w:lang w:val="es-NI"/>
        </w:rPr>
        <w:t>se</w:t>
      </w:r>
      <w:r w:rsidRPr="007D1A27">
        <w:rPr>
          <w:rFonts w:ascii="Courier New" w:hAnsi="Courier New" w:cs="Courier New"/>
          <w:lang w:val="es-NI"/>
        </w:rPr>
        <w:t xml:space="preserve">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Boaco con 1.40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>
        <w:rPr>
          <w:rFonts w:ascii="Courier New" w:hAnsi="Courier New" w:cs="Courier New"/>
          <w:lang w:val="es-NI"/>
        </w:rPr>
        <w:t>77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20F58078" w14:textId="3B347645" w:rsidR="008F627F" w:rsidRPr="007D1A27" w:rsidRDefault="008F627F" w:rsidP="008F627F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lastRenderedPageBreak/>
        <w:t xml:space="preserve">La tasa de mortalidad en este mes </w:t>
      </w:r>
      <w:r w:rsidR="002D15AF">
        <w:rPr>
          <w:rFonts w:ascii="Courier New" w:hAnsi="Courier New" w:cs="Courier New"/>
          <w:lang w:val="es-NI"/>
        </w:rPr>
        <w:t xml:space="preserve"> de marzo por </w:t>
      </w:r>
      <w:r w:rsidRPr="007D1A27">
        <w:rPr>
          <w:rFonts w:ascii="Courier New" w:hAnsi="Courier New" w:cs="Courier New"/>
          <w:lang w:val="es-NI"/>
        </w:rPr>
        <w:t xml:space="preserve"> COVID-19 fue de 0.00 x 10,000 hab.   Ningún municipio del departamento reporta fallecidos por esta causa.</w:t>
      </w:r>
    </w:p>
    <w:bookmarkEnd w:id="2"/>
    <w:p w14:paraId="17C3135E" w14:textId="34367271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2D15AF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64CE0"/>
    <w:rsid w:val="000947AB"/>
    <w:rsid w:val="00102F5F"/>
    <w:rsid w:val="00174636"/>
    <w:rsid w:val="001856C5"/>
    <w:rsid w:val="001C7C35"/>
    <w:rsid w:val="0027733F"/>
    <w:rsid w:val="002C5E38"/>
    <w:rsid w:val="002D15AF"/>
    <w:rsid w:val="002D165F"/>
    <w:rsid w:val="002F46E9"/>
    <w:rsid w:val="0033427F"/>
    <w:rsid w:val="0046683E"/>
    <w:rsid w:val="004A0FEA"/>
    <w:rsid w:val="004B2C75"/>
    <w:rsid w:val="00810AE5"/>
    <w:rsid w:val="008F3ECF"/>
    <w:rsid w:val="008F627F"/>
    <w:rsid w:val="009A730C"/>
    <w:rsid w:val="00CF3AD4"/>
    <w:rsid w:val="00E4694B"/>
    <w:rsid w:val="00E775D0"/>
    <w:rsid w:val="00F2570F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3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Febrero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inofrme.xlsx]2'!$C$7:$O$7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18-4AED-B210-9AC811EDF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inofrme.xlsx]2'!$C$8:$O$8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18-4AED-B210-9AC811EDF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13º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-0.57981098161999189</c:v>
                </c:pt>
                <c:pt idx="7">
                  <c:v>-1.015331505736623</c:v>
                </c:pt>
                <c:pt idx="8">
                  <c:v>0</c:v>
                </c:pt>
                <c:pt idx="9">
                  <c:v>-13.726835964310226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0F5-8F5C-7004252EB608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0.55072144509307197</c:v>
                </c:pt>
                <c:pt idx="7">
                  <c:v>1.789709172259508</c:v>
                </c:pt>
                <c:pt idx="8">
                  <c:v>2.3860653781913626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2B-40F5-8F5C-7004252EB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24506544"/>
        <c:axId val="324506872"/>
      </c:barChart>
      <c:catAx>
        <c:axId val="3245065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24506872"/>
        <c:crosses val="autoZero"/>
        <c:auto val="1"/>
        <c:lblAlgn val="ctr"/>
        <c:lblOffset val="100"/>
        <c:noMultiLvlLbl val="0"/>
      </c:catAx>
      <c:valAx>
        <c:axId val="324506872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245065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13º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1A22-43B5-B8FD-BDECCE2C5014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1A22-43B5-B8FD-BDECCE2C5014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[Hoja4]P1!$C$3:$D$3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[Hoja4]P1!$C$5:$D$5</c:f>
              <c:numCache>
                <c:formatCode>General</c:formatCode>
                <c:ptCount val="2"/>
                <c:pt idx="0" formatCode="0;0">
                  <c:v>-4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22-43B5-B8FD-BDECCE2C5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5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9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27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80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3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6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 custLinFactNeighborX="-2098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80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695573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6</a:t>
          </a:r>
        </a:p>
      </dsp:txBody>
      <dsp:txXfrm>
        <a:off x="2695573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5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15</cp:revision>
  <dcterms:created xsi:type="dcterms:W3CDTF">2022-07-29T20:00:00Z</dcterms:created>
  <dcterms:modified xsi:type="dcterms:W3CDTF">2022-08-15T23:52:00Z</dcterms:modified>
</cp:coreProperties>
</file>