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51945110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23011B">
        <w:rPr>
          <w:rFonts w:ascii="Courier New" w:hAnsi="Courier New" w:cs="Courier New"/>
          <w:b/>
          <w:bCs/>
          <w:sz w:val="24"/>
          <w:szCs w:val="24"/>
          <w:lang w:val="es-MX"/>
        </w:rPr>
        <w:t>DICIEMBRE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24CDF1C0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37A63588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0B1AF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113AA4B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B1AF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52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0B1AF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006ECB59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0B1AF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4BAC805F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285A1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223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91898E1" w14:textId="6B6A6F69" w:rsidR="004A0FEA" w:rsidRDefault="004A0FE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la presente semana hubo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0870C244" w:rsidR="00CF3AD4" w:rsidRPr="00E4694B" w:rsidRDefault="0019143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8D9594E" wp14:editId="2CA63511">
            <wp:extent cx="5238750" cy="28670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EEEBC0" w14:textId="43ACE829" w:rsidR="00EF68C2" w:rsidRPr="0035640E" w:rsidRDefault="00EF68C2" w:rsidP="00EF68C2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continua </w:t>
      </w:r>
      <w:r w:rsidR="006477E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ya en este mes con una  diminucion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 la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 w:rsidR="006477E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66D6D1EE" w14:textId="6B4D3570" w:rsidR="00EF68C2" w:rsidRDefault="00EF68C2" w:rsidP="00EF68C2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6477E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.8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6477E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335B61D9" w:rsidR="00CF3AD4" w:rsidRDefault="006C1343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53C5A1E4" wp14:editId="21F92713">
            <wp:extent cx="5612130" cy="4364990"/>
            <wp:effectExtent l="0" t="0" r="7620" b="1651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3018CC4-FC0B-DC70-3F48-8A05E32828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EAC68F" w14:textId="77777777" w:rsidR="00EF68C2" w:rsidRPr="00540EA1" w:rsidRDefault="00EF68C2" w:rsidP="00EF68C2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71D03915" w14:textId="77777777" w:rsidR="00EF68C2" w:rsidRPr="00540EA1" w:rsidRDefault="00EF68C2" w:rsidP="00EF68C2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5C2AD25D" w14:textId="77777777" w:rsidR="00EF68C2" w:rsidRPr="00540EA1" w:rsidRDefault="00EF68C2" w:rsidP="00EF68C2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71D51DD0" w14:textId="77777777" w:rsidR="00EF68C2" w:rsidRDefault="00EF68C2" w:rsidP="00EF68C2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614807DF" w14:textId="2362D27A" w:rsidR="00CF3AD4" w:rsidRPr="00EF68C2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NI"/>
        </w:rPr>
      </w:pPr>
    </w:p>
    <w:p w14:paraId="21314B58" w14:textId="4795AAD4" w:rsidR="00CF3AD4" w:rsidRDefault="006C1343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53C75F35" wp14:editId="20E1DE44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5EB3CA8-9A81-8625-9608-28E8CC117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6656C7" w14:textId="78B7B4C1" w:rsidR="00EF68C2" w:rsidRPr="00BA27E7" w:rsidRDefault="00EF68C2" w:rsidP="00EF68C2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 con un 5</w:t>
      </w:r>
      <w:r w:rsidR="00F17FA3">
        <w:rPr>
          <w:rFonts w:ascii="Courier New" w:hAnsi="Courier New" w:cs="Courier New"/>
          <w:lang w:val="es-MX"/>
        </w:rPr>
        <w:t>5</w:t>
      </w:r>
      <w:r>
        <w:rPr>
          <w:rFonts w:ascii="Courier New" w:hAnsi="Courier New" w:cs="Courier New"/>
          <w:lang w:val="es-MX"/>
        </w:rPr>
        <w:t>.</w:t>
      </w:r>
      <w:r w:rsidR="00F17FA3">
        <w:rPr>
          <w:rFonts w:ascii="Courier New" w:hAnsi="Courier New" w:cs="Courier New"/>
          <w:lang w:val="es-MX"/>
        </w:rPr>
        <w:t>86</w:t>
      </w:r>
      <w:r>
        <w:rPr>
          <w:rFonts w:ascii="Courier New" w:hAnsi="Courier New" w:cs="Courier New"/>
          <w:lang w:val="es-MX"/>
        </w:rPr>
        <w:t>%.</w:t>
      </w:r>
    </w:p>
    <w:tbl>
      <w:tblPr>
        <w:tblW w:w="8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58"/>
        <w:gridCol w:w="1159"/>
        <w:gridCol w:w="1158"/>
        <w:gridCol w:w="1160"/>
      </w:tblGrid>
      <w:tr w:rsidR="004779BF" w:rsidRPr="00621DA4" w14:paraId="6BF243A6" w14:textId="77777777" w:rsidTr="006C1343">
        <w:trPr>
          <w:trHeight w:val="2494"/>
        </w:trPr>
        <w:tc>
          <w:tcPr>
            <w:tcW w:w="8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3DCA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6C1343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6C1343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52º semana epidemiológica</w:t>
            </w:r>
            <w:r w:rsidRPr="006C1343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6C1343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6C1343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4779BF" w:rsidRPr="006C1343" w14:paraId="11C34C9E" w14:textId="77777777" w:rsidTr="00EF68C2">
        <w:trPr>
          <w:trHeight w:val="4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C45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F211B60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423F038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4779BF" w:rsidRPr="006C1343" w14:paraId="7F89B5C9" w14:textId="77777777" w:rsidTr="00EF68C2">
        <w:trPr>
          <w:trHeight w:val="39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C5F0CB0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57673C3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C43BFAE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E1D46C2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430646E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4779BF" w:rsidRPr="006C1343" w14:paraId="49BE4020" w14:textId="77777777" w:rsidTr="00EF68C2">
        <w:trPr>
          <w:trHeight w:val="37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DA87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F4649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45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1ECE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9.03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2BF32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DAC77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12.64</w:t>
            </w:r>
          </w:p>
        </w:tc>
      </w:tr>
      <w:tr w:rsidR="004779BF" w:rsidRPr="006C1343" w14:paraId="3484C868" w14:textId="77777777" w:rsidTr="00EF68C2">
        <w:trPr>
          <w:trHeight w:val="37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DEDF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E349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2BEE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1D15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67D62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7.44</w:t>
            </w:r>
          </w:p>
        </w:tc>
      </w:tr>
      <w:tr w:rsidR="004779BF" w:rsidRPr="006C1343" w14:paraId="1A066EA2" w14:textId="77777777" w:rsidTr="00EF68C2">
        <w:trPr>
          <w:trHeight w:val="37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91346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47F0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7E0F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BDF3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0C51A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5.49</w:t>
            </w:r>
          </w:p>
        </w:tc>
      </w:tr>
      <w:tr w:rsidR="004779BF" w:rsidRPr="006C1343" w14:paraId="716D2E00" w14:textId="77777777" w:rsidTr="00EF68C2">
        <w:trPr>
          <w:trHeight w:val="37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FDD2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00E9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B726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F1BD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FBDB2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18.30</w:t>
            </w:r>
          </w:p>
        </w:tc>
      </w:tr>
      <w:tr w:rsidR="004779BF" w:rsidRPr="006C1343" w14:paraId="5FBD277E" w14:textId="77777777" w:rsidTr="00EF68C2">
        <w:trPr>
          <w:trHeight w:val="37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BC20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D07F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6CCE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FE6A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D11B4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12.12</w:t>
            </w:r>
          </w:p>
        </w:tc>
      </w:tr>
      <w:tr w:rsidR="004779BF" w:rsidRPr="006C1343" w14:paraId="7597409F" w14:textId="77777777" w:rsidTr="00EF68C2">
        <w:trPr>
          <w:trHeight w:val="37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E569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E8C7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E90C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212B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91DC2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7.23</w:t>
            </w:r>
          </w:p>
        </w:tc>
      </w:tr>
      <w:tr w:rsidR="004779BF" w:rsidRPr="006C1343" w14:paraId="4DCDECA8" w14:textId="77777777" w:rsidTr="00EF68C2">
        <w:trPr>
          <w:trHeight w:val="397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696F90C" w14:textId="77777777" w:rsidR="004779BF" w:rsidRPr="006C1343" w:rsidRDefault="004779BF" w:rsidP="004779B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8DD29E3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79CABDA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5.18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079A17C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5350357" w14:textId="77777777" w:rsidR="004779BF" w:rsidRPr="006C1343" w:rsidRDefault="004779BF" w:rsidP="004779B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6C1343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9.63</w:t>
            </w:r>
          </w:p>
        </w:tc>
      </w:tr>
    </w:tbl>
    <w:p w14:paraId="0BFE9690" w14:textId="0A3A7B53" w:rsidR="00EF68C2" w:rsidRDefault="00EF68C2" w:rsidP="00EF68C2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fue de </w:t>
      </w:r>
      <w:r>
        <w:rPr>
          <w:rFonts w:ascii="Courier New" w:hAnsi="Courier New" w:cs="Courier New"/>
          <w:lang w:val="es-NI"/>
        </w:rPr>
        <w:t>9</w:t>
      </w:r>
      <w:r w:rsidRPr="007D1A27">
        <w:rPr>
          <w:rFonts w:ascii="Courier New" w:hAnsi="Courier New" w:cs="Courier New"/>
          <w:lang w:val="es-NI"/>
        </w:rPr>
        <w:t>.</w:t>
      </w:r>
      <w:r w:rsidR="00782092">
        <w:rPr>
          <w:rFonts w:ascii="Courier New" w:hAnsi="Courier New" w:cs="Courier New"/>
          <w:lang w:val="es-NI"/>
        </w:rPr>
        <w:t>63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departamento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San José de los Remates con 1</w:t>
      </w:r>
      <w:r w:rsidR="00782092">
        <w:rPr>
          <w:rFonts w:ascii="Courier New" w:hAnsi="Courier New" w:cs="Courier New"/>
          <w:lang w:val="es-NI"/>
        </w:rPr>
        <w:t>8</w:t>
      </w:r>
      <w:r>
        <w:rPr>
          <w:rFonts w:ascii="Courier New" w:hAnsi="Courier New" w:cs="Courier New"/>
          <w:lang w:val="es-NI"/>
        </w:rPr>
        <w:t>.</w:t>
      </w:r>
      <w:r w:rsidR="00782092">
        <w:rPr>
          <w:rFonts w:ascii="Courier New" w:hAnsi="Courier New" w:cs="Courier New"/>
          <w:lang w:val="es-NI"/>
        </w:rPr>
        <w:t>30</w:t>
      </w:r>
      <w:r>
        <w:rPr>
          <w:rFonts w:ascii="Courier New" w:hAnsi="Courier New" w:cs="Courier New"/>
          <w:lang w:val="es-NI"/>
        </w:rPr>
        <w:t xml:space="preserve"> por su población, pero el municipio con mayor número de casos es Boaco </w:t>
      </w:r>
      <w:r w:rsidRPr="007D1A27">
        <w:rPr>
          <w:rFonts w:ascii="Courier New" w:hAnsi="Courier New" w:cs="Courier New"/>
          <w:lang w:val="es-NI"/>
        </w:rPr>
        <w:t xml:space="preserve">lo que equivale aproximadamente al </w:t>
      </w:r>
      <w:r>
        <w:rPr>
          <w:rFonts w:ascii="Courier New" w:hAnsi="Courier New" w:cs="Courier New"/>
          <w:lang w:val="es-NI"/>
        </w:rPr>
        <w:t>43.</w:t>
      </w:r>
      <w:r w:rsidR="00782092">
        <w:rPr>
          <w:rFonts w:ascii="Courier New" w:hAnsi="Courier New" w:cs="Courier New"/>
          <w:lang w:val="es-NI"/>
        </w:rPr>
        <w:t>44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40E2D6A6" w14:textId="77777777" w:rsidR="00EF68C2" w:rsidRPr="00841E1C" w:rsidRDefault="00EF68C2" w:rsidP="00EF68C2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</w:t>
      </w:r>
      <w:r>
        <w:rPr>
          <w:rFonts w:ascii="Courier New" w:hAnsi="Courier New" w:cs="Courier New"/>
          <w:sz w:val="24"/>
          <w:lang w:val="es-NI"/>
        </w:rPr>
        <w:t>en</w:t>
      </w:r>
      <w:r w:rsidRPr="00841E1C">
        <w:rPr>
          <w:rFonts w:ascii="Courier New" w:hAnsi="Courier New" w:cs="Courier New"/>
          <w:sz w:val="24"/>
          <w:lang w:val="es-NI"/>
        </w:rPr>
        <w:t xml:space="preserve"> </w:t>
      </w:r>
      <w:r>
        <w:rPr>
          <w:rFonts w:ascii="Courier New" w:hAnsi="Courier New" w:cs="Courier New"/>
          <w:sz w:val="24"/>
          <w:lang w:val="es-NI"/>
        </w:rPr>
        <w:t>este mes con una mayor tasa con respecto al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59516AF5" w14:textId="0B01A662" w:rsidR="00EF68C2" w:rsidRPr="007D1A27" w:rsidRDefault="00EF68C2" w:rsidP="00EF68C2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>La tasa de mortalidad en este mes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por COVID-19 fue de 0.00 x 10,000 hab.   Ningún municipio del departamento reporta fallecidos por esta causa.</w:t>
      </w:r>
    </w:p>
    <w:p w14:paraId="6A8CB399" w14:textId="77777777" w:rsidR="004779BF" w:rsidRDefault="004779BF" w:rsidP="004A0FEA">
      <w:pPr>
        <w:rPr>
          <w:color w:val="auto"/>
          <w:lang w:val="es-MX"/>
        </w:rPr>
      </w:pPr>
    </w:p>
    <w:p w14:paraId="17517DAB" w14:textId="1C50AC1E" w:rsidR="004B2C75" w:rsidRPr="00C2164E" w:rsidRDefault="004B2C75" w:rsidP="004A0FEA">
      <w:pPr>
        <w:rPr>
          <w:color w:val="auto"/>
          <w:lang w:val="es-MX"/>
        </w:rPr>
      </w:pPr>
    </w:p>
    <w:p w14:paraId="4FF367C5" w14:textId="51C388BC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03ECCC41" w:rsidR="0033427F" w:rsidRDefault="0033427F">
      <w:pPr>
        <w:rPr>
          <w:noProof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4AB487AF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6078E"/>
    <w:rsid w:val="000B1AF6"/>
    <w:rsid w:val="00102F5F"/>
    <w:rsid w:val="001856C5"/>
    <w:rsid w:val="0019143A"/>
    <w:rsid w:val="001C7C35"/>
    <w:rsid w:val="0023011B"/>
    <w:rsid w:val="0027733F"/>
    <w:rsid w:val="00285A17"/>
    <w:rsid w:val="002D165F"/>
    <w:rsid w:val="0033427F"/>
    <w:rsid w:val="004779BF"/>
    <w:rsid w:val="004A0FEA"/>
    <w:rsid w:val="004B2C75"/>
    <w:rsid w:val="00560E85"/>
    <w:rsid w:val="00596E38"/>
    <w:rsid w:val="00621DA4"/>
    <w:rsid w:val="00623ED4"/>
    <w:rsid w:val="006477E3"/>
    <w:rsid w:val="006C1343"/>
    <w:rsid w:val="00782092"/>
    <w:rsid w:val="007C6DA2"/>
    <w:rsid w:val="00810AE5"/>
    <w:rsid w:val="009A730C"/>
    <w:rsid w:val="00CC16B1"/>
    <w:rsid w:val="00CF3AD4"/>
    <w:rsid w:val="00E4694B"/>
    <w:rsid w:val="00EF68C2"/>
    <w:rsid w:val="00F17FA3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3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40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Diciembre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inofrme.xlsx]2'!$C$7:$BB$7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3</c:v>
                </c:pt>
                <c:pt idx="27">
                  <c:v>5</c:v>
                </c:pt>
                <c:pt idx="28">
                  <c:v>4</c:v>
                </c:pt>
                <c:pt idx="29">
                  <c:v>4</c:v>
                </c:pt>
                <c:pt idx="30">
                  <c:v>3</c:v>
                </c:pt>
                <c:pt idx="31">
                  <c:v>5</c:v>
                </c:pt>
                <c:pt idx="32">
                  <c:v>6</c:v>
                </c:pt>
                <c:pt idx="33">
                  <c:v>6</c:v>
                </c:pt>
                <c:pt idx="34">
                  <c:v>7</c:v>
                </c:pt>
                <c:pt idx="35">
                  <c:v>7</c:v>
                </c:pt>
                <c:pt idx="36">
                  <c:v>9</c:v>
                </c:pt>
                <c:pt idx="37">
                  <c:v>7</c:v>
                </c:pt>
                <c:pt idx="38">
                  <c:v>5</c:v>
                </c:pt>
                <c:pt idx="39">
                  <c:v>7</c:v>
                </c:pt>
                <c:pt idx="40">
                  <c:v>12</c:v>
                </c:pt>
                <c:pt idx="41">
                  <c:v>7</c:v>
                </c:pt>
                <c:pt idx="42">
                  <c:v>4</c:v>
                </c:pt>
                <c:pt idx="43">
                  <c:v>1</c:v>
                </c:pt>
                <c:pt idx="44">
                  <c:v>2</c:v>
                </c:pt>
                <c:pt idx="45">
                  <c:v>2</c:v>
                </c:pt>
                <c:pt idx="46">
                  <c:v>1</c:v>
                </c:pt>
                <c:pt idx="47">
                  <c:v>3</c:v>
                </c:pt>
                <c:pt idx="48">
                  <c:v>0</c:v>
                </c:pt>
                <c:pt idx="49">
                  <c:v>1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C-4388-8F66-CBDF972C7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inofrme.xlsx]2'!$C$8:$BB$8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1C-4388-8F66-CBDF972C7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52º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[Hoja32]P2!$B$4:$B$15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[Hoja32]P2!$E$4:$E$15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-3.4336728854297816</c:v>
                </c:pt>
                <c:pt idx="6">
                  <c:v>-16.234707485359774</c:v>
                </c:pt>
                <c:pt idx="7">
                  <c:v>-25.383287643415574</c:v>
                </c:pt>
                <c:pt idx="8">
                  <c:v>-10.392309690828787</c:v>
                </c:pt>
                <c:pt idx="9">
                  <c:v>-20.590253946465342</c:v>
                </c:pt>
                <c:pt idx="10">
                  <c:v>-3.0039050765995796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6F-4940-A8D0-A16CBB879DF5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[Hoja32]P2!$F$4:$F$15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6.8571428571428568</c:v>
                </c:pt>
                <c:pt idx="6">
                  <c:v>21.478136358629804</c:v>
                </c:pt>
                <c:pt idx="7">
                  <c:v>25.055928411633108</c:v>
                </c:pt>
                <c:pt idx="8">
                  <c:v>9.5442615127654502</c:v>
                </c:pt>
                <c:pt idx="9">
                  <c:v>6.4892926670992859</c:v>
                </c:pt>
                <c:pt idx="10">
                  <c:v>5.3248136315228969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6F-4940-A8D0-A16CBB879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606979464"/>
        <c:axId val="606983400"/>
      </c:barChart>
      <c:catAx>
        <c:axId val="606979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606983400"/>
        <c:crosses val="autoZero"/>
        <c:auto val="1"/>
        <c:lblAlgn val="ctr"/>
        <c:lblOffset val="100"/>
        <c:noMultiLvlLbl val="0"/>
      </c:catAx>
      <c:valAx>
        <c:axId val="60698340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6069794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52º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523-487B-B28D-5BABDE180536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C523-487B-B28D-5BABDE180536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[Hoja40]P1!$C$3:$D$3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[Hoja40]P1!$C$5:$D$5</c:f>
              <c:numCache>
                <c:formatCode>General</c:formatCode>
                <c:ptCount val="2"/>
                <c:pt idx="0" formatCode="0;0">
                  <c:v>-64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23-487B-B28D-5BABDE180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145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26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1,557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145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145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1,557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145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23</cp:revision>
  <dcterms:created xsi:type="dcterms:W3CDTF">2022-07-29T20:00:00Z</dcterms:created>
  <dcterms:modified xsi:type="dcterms:W3CDTF">2022-08-15T23:56:00Z</dcterms:modified>
</cp:coreProperties>
</file>