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F9306D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777777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685D4205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>Mes de Enero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59684D2F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5C3FA111" w:rsidR="00C4004E" w:rsidRPr="00F33283" w:rsidRDefault="00BC1B51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1012EA23" wp14:editId="5A65DF35">
            <wp:extent cx="6332220" cy="3200400"/>
            <wp:effectExtent l="0" t="0" r="1143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2A54A" w14:textId="2971470B" w:rsidR="006B0CCB" w:rsidRDefault="006B0CCB" w:rsidP="00C4004E">
      <w:pPr>
        <w:jc w:val="center"/>
      </w:pP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FD0C2B">
      <w:pPr>
        <w:spacing w:line="360" w:lineRule="auto"/>
        <w:jc w:val="both"/>
        <w:rPr>
          <w:rFonts w:ascii="Arial" w:hAnsi="Arial" w:cs="Arial"/>
          <w:sz w:val="24"/>
        </w:rPr>
      </w:pPr>
    </w:p>
    <w:p w14:paraId="45606B7A" w14:textId="0CAD39BE" w:rsidR="003B50D3" w:rsidRPr="003B50D3" w:rsidRDefault="001D2628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Iniciamos las primeras 4 semanas epidemiológicas del año 2021, se evidencia baja transmisión lo cual nos permite tener control de la pandemia en nuestro SILAIS.</w:t>
      </w:r>
    </w:p>
    <w:p w14:paraId="1F080309" w14:textId="67C02D73" w:rsidR="003B50D3" w:rsidRPr="003B50D3" w:rsidRDefault="001D2628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Se observa una</w:t>
      </w:r>
      <w:r w:rsidR="003B50D3" w:rsidRPr="003B50D3">
        <w:rPr>
          <w:rFonts w:ascii="Arial" w:hAnsi="Arial" w:cs="Arial"/>
          <w:sz w:val="24"/>
          <w:lang w:val="es-NI"/>
        </w:rPr>
        <w:t xml:space="preserve"> curva epidémica </w:t>
      </w:r>
      <w:r>
        <w:rPr>
          <w:rFonts w:ascii="Arial" w:hAnsi="Arial" w:cs="Arial"/>
          <w:sz w:val="24"/>
          <w:lang w:val="es-NI"/>
        </w:rPr>
        <w:t xml:space="preserve">en estas 04 </w:t>
      </w:r>
      <w:r w:rsidR="003B50D3" w:rsidRPr="003B50D3">
        <w:rPr>
          <w:rFonts w:ascii="Arial" w:hAnsi="Arial" w:cs="Arial"/>
          <w:sz w:val="24"/>
          <w:lang w:val="es-NI"/>
        </w:rPr>
        <w:t>primeras semanas del año fueron de control epidemiológico</w:t>
      </w:r>
      <w:r>
        <w:rPr>
          <w:rFonts w:ascii="Arial" w:hAnsi="Arial" w:cs="Arial"/>
          <w:sz w:val="24"/>
          <w:lang w:val="es-NI"/>
        </w:rPr>
        <w:t>.</w:t>
      </w:r>
      <w:r w:rsidR="003B50D3" w:rsidRPr="003B50D3">
        <w:rPr>
          <w:rFonts w:ascii="Arial" w:hAnsi="Arial" w:cs="Arial"/>
          <w:sz w:val="24"/>
          <w:lang w:val="es-NI"/>
        </w:rPr>
        <w:t xml:space="preserve"> </w:t>
      </w:r>
    </w:p>
    <w:p w14:paraId="11693056" w14:textId="77777777" w:rsidR="003B50D3" w:rsidRPr="003B50D3" w:rsidRDefault="003B50D3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 10 semanas fue de un ascenso de casos que no llegó a la misma incidencia de casos al compararlo con la curva del año 2020.</w:t>
      </w:r>
    </w:p>
    <w:p w14:paraId="0B701256" w14:textId="77777777" w:rsidR="003B50D3" w:rsidRDefault="003B50D3" w:rsidP="00FD0C2B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5%, recuperados del 99% y una letalidad del 1%.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4E0359A6" w:rsidR="00F33283" w:rsidRDefault="00C90460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1931CA1" wp14:editId="5D176AA0">
            <wp:extent cx="6305550" cy="2785745"/>
            <wp:effectExtent l="0" t="0" r="0" b="14605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2B41574" w14:textId="7DDD0E4E" w:rsidR="00592509" w:rsidRDefault="00592509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</w:t>
      </w:r>
      <w:r w:rsidR="00FD0C2B">
        <w:rPr>
          <w:rFonts w:ascii="Arial" w:hAnsi="Arial" w:cs="Arial"/>
          <w:sz w:val="24"/>
          <w:lang w:val="es-NI"/>
        </w:rPr>
        <w:t xml:space="preserve">el municipio de Jinotega, el cual cuenta por </w:t>
      </w:r>
      <w:proofErr w:type="gramStart"/>
      <w:r w:rsidR="00FD0C2B">
        <w:rPr>
          <w:rFonts w:ascii="Arial" w:hAnsi="Arial" w:cs="Arial"/>
          <w:sz w:val="24"/>
          <w:lang w:val="es-NI"/>
        </w:rPr>
        <w:t xml:space="preserve">ende </w:t>
      </w:r>
      <w:r>
        <w:rPr>
          <w:rFonts w:ascii="Arial" w:hAnsi="Arial" w:cs="Arial"/>
          <w:sz w:val="24"/>
          <w:lang w:val="es-NI"/>
        </w:rPr>
        <w:t xml:space="preserve"> con</w:t>
      </w:r>
      <w:proofErr w:type="gramEnd"/>
      <w:r>
        <w:rPr>
          <w:rFonts w:ascii="Arial" w:hAnsi="Arial" w:cs="Arial"/>
          <w:sz w:val="24"/>
          <w:lang w:val="es-NI"/>
        </w:rPr>
        <w:t xml:space="preserve"> </w:t>
      </w:r>
      <w:r w:rsidR="00FD0C2B">
        <w:rPr>
          <w:rFonts w:ascii="Arial" w:hAnsi="Arial" w:cs="Arial"/>
          <w:sz w:val="24"/>
          <w:lang w:val="es-NI"/>
        </w:rPr>
        <w:t xml:space="preserve">la </w:t>
      </w:r>
      <w:r>
        <w:rPr>
          <w:rFonts w:ascii="Arial" w:hAnsi="Arial" w:cs="Arial"/>
          <w:sz w:val="24"/>
          <w:lang w:val="es-NI"/>
        </w:rPr>
        <w:t xml:space="preserve">mayor población y </w:t>
      </w:r>
      <w:r w:rsidR="00FD0C2B">
        <w:rPr>
          <w:rFonts w:ascii="Arial" w:hAnsi="Arial" w:cs="Arial"/>
          <w:sz w:val="24"/>
          <w:lang w:val="es-NI"/>
        </w:rPr>
        <w:t xml:space="preserve">por ende </w:t>
      </w:r>
      <w:r>
        <w:rPr>
          <w:rFonts w:ascii="Arial" w:hAnsi="Arial" w:cs="Arial"/>
          <w:sz w:val="24"/>
          <w:lang w:val="es-NI"/>
        </w:rPr>
        <w:t>mayor movilidad poblacional por diversas actividades.</w:t>
      </w:r>
    </w:p>
    <w:p w14:paraId="71A7CAB2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8C90366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fueron los adultos a partir de los de </w:t>
      </w:r>
      <w:r w:rsidR="00FD0C2B"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 w:rsidR="00FD0C2B">
        <w:rPr>
          <w:rFonts w:ascii="Arial" w:hAnsi="Arial" w:cs="Arial"/>
          <w:sz w:val="24"/>
          <w:lang w:val="es-NI"/>
        </w:rPr>
        <w:t>, población económicamente activa.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8A7F5AE" w14:textId="77777777" w:rsidR="00F610A7" w:rsidRPr="00167561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1E88E177" w14:textId="77777777" w:rsidR="00F610A7" w:rsidRPr="00F2720A" w:rsidRDefault="00F610A7" w:rsidP="00FD0C2B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77777777" w:rsidR="00F610A7" w:rsidRDefault="00F610A7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54115612" w14:textId="381FCB6E" w:rsidR="002250BC" w:rsidRDefault="002250BC" w:rsidP="00F610A7">
      <w:pPr>
        <w:rPr>
          <w:lang w:val="es-NI"/>
        </w:rPr>
      </w:pPr>
    </w:p>
    <w:p w14:paraId="36CBFB1A" w14:textId="4A6CDA81" w:rsidR="002250BC" w:rsidRDefault="002250BC" w:rsidP="00F610A7">
      <w:pPr>
        <w:rPr>
          <w:lang w:val="es-NI"/>
        </w:rPr>
      </w:pPr>
    </w:p>
    <w:p w14:paraId="4D075A55" w14:textId="77777777" w:rsidR="002250BC" w:rsidRDefault="002250BC" w:rsidP="00F610A7">
      <w:pPr>
        <w:rPr>
          <w:lang w:val="es-NI"/>
        </w:rPr>
      </w:pPr>
    </w:p>
    <w:p w14:paraId="540A4654" w14:textId="77777777" w:rsidR="001531A1" w:rsidRDefault="001531A1" w:rsidP="00F610A7">
      <w:pPr>
        <w:rPr>
          <w:lang w:val="es-NI"/>
        </w:rPr>
      </w:pPr>
    </w:p>
    <w:p w14:paraId="089F993D" w14:textId="77777777" w:rsidR="001531A1" w:rsidRDefault="001531A1" w:rsidP="00F610A7">
      <w:pPr>
        <w:rPr>
          <w:lang w:val="es-NI"/>
        </w:rPr>
      </w:pPr>
    </w:p>
    <w:p w14:paraId="7136CFE4" w14:textId="203EF630" w:rsidR="001531A1" w:rsidRDefault="00C9046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58240" behindDoc="1" locked="0" layoutInCell="1" allowOverlap="1" wp14:anchorId="20378BFB" wp14:editId="1F77A7C9">
            <wp:simplePos x="0" y="0"/>
            <wp:positionH relativeFrom="column">
              <wp:posOffset>336188</wp:posOffset>
            </wp:positionH>
            <wp:positionV relativeFrom="paragraph">
              <wp:posOffset>-306524</wp:posOffset>
            </wp:positionV>
            <wp:extent cx="5105400" cy="3853543"/>
            <wp:effectExtent l="0" t="0" r="0" b="13970"/>
            <wp:wrapNone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40A42BD4" w14:textId="2DD72767" w:rsidR="00C90460" w:rsidRDefault="00C90460" w:rsidP="00F610A7">
      <w:pPr>
        <w:rPr>
          <w:noProof/>
          <w:lang w:val="es-NI" w:eastAsia="es-NI"/>
        </w:rPr>
      </w:pPr>
    </w:p>
    <w:p w14:paraId="388142A6" w14:textId="51E6A229" w:rsidR="00C90460" w:rsidRDefault="00C90460" w:rsidP="00F610A7">
      <w:pPr>
        <w:rPr>
          <w:noProof/>
          <w:lang w:val="es-NI" w:eastAsia="es-NI"/>
        </w:rPr>
      </w:pPr>
    </w:p>
    <w:p w14:paraId="17E7E027" w14:textId="2B0F8285" w:rsidR="00C90460" w:rsidRDefault="00C90460" w:rsidP="00F610A7">
      <w:pPr>
        <w:rPr>
          <w:noProof/>
          <w:lang w:val="es-NI" w:eastAsia="es-NI"/>
        </w:rPr>
      </w:pPr>
    </w:p>
    <w:p w14:paraId="4B5F77A9" w14:textId="73DD577E" w:rsidR="00C90460" w:rsidRDefault="00C90460" w:rsidP="00F610A7">
      <w:pPr>
        <w:rPr>
          <w:noProof/>
          <w:lang w:val="es-NI" w:eastAsia="es-NI"/>
        </w:rPr>
      </w:pPr>
    </w:p>
    <w:p w14:paraId="12832DB7" w14:textId="48544226" w:rsidR="00C90460" w:rsidRDefault="00C90460" w:rsidP="00F610A7">
      <w:pPr>
        <w:rPr>
          <w:noProof/>
          <w:lang w:val="es-NI" w:eastAsia="es-NI"/>
        </w:rPr>
      </w:pPr>
    </w:p>
    <w:p w14:paraId="644241E5" w14:textId="5BCF1A12" w:rsidR="00C90460" w:rsidRDefault="00C90460" w:rsidP="00F610A7">
      <w:pPr>
        <w:rPr>
          <w:lang w:val="es-NI"/>
        </w:rPr>
      </w:pPr>
    </w:p>
    <w:p w14:paraId="469F33F7" w14:textId="77777777" w:rsidR="001531A1" w:rsidRDefault="001531A1" w:rsidP="00F610A7">
      <w:pPr>
        <w:rPr>
          <w:lang w:val="es-NI"/>
        </w:rPr>
      </w:pPr>
    </w:p>
    <w:p w14:paraId="6B272D0C" w14:textId="563C59E9" w:rsidR="001531A1" w:rsidRDefault="001531A1" w:rsidP="00F610A7">
      <w:pPr>
        <w:rPr>
          <w:lang w:val="es-NI"/>
        </w:rPr>
      </w:pPr>
    </w:p>
    <w:p w14:paraId="47ABFAC2" w14:textId="3CD4CCB3" w:rsidR="00F610A7" w:rsidRDefault="00F610A7" w:rsidP="00F610A7">
      <w:pPr>
        <w:rPr>
          <w:noProof/>
          <w:lang w:val="es-NI" w:eastAsia="es-NI"/>
        </w:rPr>
      </w:pPr>
    </w:p>
    <w:p w14:paraId="4ABDCE1C" w14:textId="195FF838" w:rsidR="00C90460" w:rsidRDefault="00C90460" w:rsidP="00F610A7">
      <w:pPr>
        <w:rPr>
          <w:noProof/>
          <w:lang w:val="es-NI" w:eastAsia="es-NI"/>
        </w:rPr>
      </w:pPr>
    </w:p>
    <w:p w14:paraId="0DB587D2" w14:textId="2C59CC2C" w:rsidR="00C90460" w:rsidRDefault="00C90460" w:rsidP="00F610A7">
      <w:pPr>
        <w:rPr>
          <w:noProof/>
          <w:lang w:val="es-NI" w:eastAsia="es-NI"/>
        </w:rPr>
      </w:pPr>
    </w:p>
    <w:p w14:paraId="07FB03B3" w14:textId="5E2E5C90" w:rsidR="00C90460" w:rsidRDefault="00C90460" w:rsidP="00F610A7">
      <w:pPr>
        <w:rPr>
          <w:noProof/>
          <w:lang w:val="es-NI" w:eastAsia="es-NI"/>
        </w:rPr>
      </w:pPr>
    </w:p>
    <w:p w14:paraId="2A4CFCC9" w14:textId="0EE516BD" w:rsidR="00C90460" w:rsidRDefault="00C90460" w:rsidP="00F610A7">
      <w:pPr>
        <w:rPr>
          <w:noProof/>
          <w:lang w:val="es-NI" w:eastAsia="es-NI"/>
        </w:rPr>
      </w:pPr>
    </w:p>
    <w:p w14:paraId="67B68485" w14:textId="1158570B" w:rsidR="00C90460" w:rsidRDefault="00C90460" w:rsidP="00F610A7">
      <w:pPr>
        <w:rPr>
          <w:noProof/>
          <w:lang w:val="es-NI" w:eastAsia="es-NI"/>
        </w:rPr>
      </w:pPr>
    </w:p>
    <w:p w14:paraId="7F4766DC" w14:textId="05100BDA" w:rsidR="00C90460" w:rsidRDefault="00C9046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59264" behindDoc="0" locked="0" layoutInCell="1" allowOverlap="1" wp14:anchorId="1CE3309D" wp14:editId="33870163">
            <wp:simplePos x="0" y="0"/>
            <wp:positionH relativeFrom="column">
              <wp:posOffset>205105</wp:posOffset>
            </wp:positionH>
            <wp:positionV relativeFrom="paragraph">
              <wp:posOffset>19050</wp:posOffset>
            </wp:positionV>
            <wp:extent cx="5474970" cy="3755390"/>
            <wp:effectExtent l="0" t="0" r="11430" b="16510"/>
            <wp:wrapSquare wrapText="bothSides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5D9FE" w14:textId="5A38930E" w:rsidR="00C90460" w:rsidRDefault="00C90460" w:rsidP="00F610A7">
      <w:pPr>
        <w:rPr>
          <w:noProof/>
          <w:lang w:val="es-NI" w:eastAsia="es-NI"/>
        </w:rPr>
      </w:pPr>
    </w:p>
    <w:p w14:paraId="476E5940" w14:textId="6F62CBEE" w:rsidR="00C90460" w:rsidRDefault="00C90460" w:rsidP="00F610A7">
      <w:pPr>
        <w:rPr>
          <w:noProof/>
          <w:lang w:val="es-NI" w:eastAsia="es-NI"/>
        </w:rPr>
      </w:pPr>
    </w:p>
    <w:p w14:paraId="3C3667F1" w14:textId="0E3E5368" w:rsidR="00C90460" w:rsidRDefault="00C90460" w:rsidP="00F610A7">
      <w:pPr>
        <w:rPr>
          <w:noProof/>
          <w:lang w:val="es-NI" w:eastAsia="es-NI"/>
        </w:rPr>
      </w:pPr>
    </w:p>
    <w:p w14:paraId="081281DE" w14:textId="490CE742" w:rsidR="00C90460" w:rsidRDefault="00C90460" w:rsidP="00F610A7">
      <w:pPr>
        <w:rPr>
          <w:noProof/>
          <w:lang w:val="es-NI" w:eastAsia="es-NI"/>
        </w:rPr>
      </w:pPr>
    </w:p>
    <w:p w14:paraId="0F109F01" w14:textId="0BB09C8B" w:rsidR="00C90460" w:rsidRDefault="00C90460" w:rsidP="00F610A7">
      <w:pPr>
        <w:rPr>
          <w:noProof/>
          <w:lang w:val="es-NI" w:eastAsia="es-NI"/>
        </w:rPr>
      </w:pPr>
    </w:p>
    <w:p w14:paraId="1172364C" w14:textId="6599C51E" w:rsidR="00C90460" w:rsidRDefault="00C90460" w:rsidP="00F610A7">
      <w:pPr>
        <w:rPr>
          <w:noProof/>
          <w:lang w:val="es-NI" w:eastAsia="es-NI"/>
        </w:rPr>
      </w:pPr>
    </w:p>
    <w:p w14:paraId="572C02FD" w14:textId="4E7B7DC0" w:rsidR="00C90460" w:rsidRDefault="00C90460" w:rsidP="00F610A7">
      <w:pPr>
        <w:rPr>
          <w:noProof/>
          <w:lang w:val="es-NI" w:eastAsia="es-NI"/>
        </w:rPr>
      </w:pPr>
    </w:p>
    <w:p w14:paraId="7294006B" w14:textId="32E108A0" w:rsidR="00C90460" w:rsidRDefault="00C90460" w:rsidP="00F610A7">
      <w:pPr>
        <w:rPr>
          <w:noProof/>
          <w:lang w:val="es-NI" w:eastAsia="es-NI"/>
        </w:rPr>
      </w:pPr>
    </w:p>
    <w:p w14:paraId="7E14B06C" w14:textId="7AC11851" w:rsidR="00C90460" w:rsidRDefault="00C90460" w:rsidP="00F610A7">
      <w:pPr>
        <w:rPr>
          <w:noProof/>
          <w:lang w:val="es-NI" w:eastAsia="es-NI"/>
        </w:rPr>
      </w:pPr>
    </w:p>
    <w:p w14:paraId="5CCEC9A5" w14:textId="041AA047" w:rsidR="00C90460" w:rsidRDefault="00C90460" w:rsidP="00F610A7">
      <w:pPr>
        <w:rPr>
          <w:noProof/>
          <w:lang w:val="es-NI" w:eastAsia="es-NI"/>
        </w:rPr>
      </w:pPr>
    </w:p>
    <w:p w14:paraId="0C837566" w14:textId="2A3B86F9" w:rsidR="00C90460" w:rsidRDefault="00C90460" w:rsidP="00F610A7">
      <w:pPr>
        <w:rPr>
          <w:noProof/>
          <w:lang w:val="es-NI" w:eastAsia="es-NI"/>
        </w:rPr>
      </w:pPr>
    </w:p>
    <w:p w14:paraId="48B5CBC8" w14:textId="0157A2E2" w:rsidR="00C90460" w:rsidRDefault="00C90460" w:rsidP="00F610A7">
      <w:pPr>
        <w:rPr>
          <w:noProof/>
          <w:lang w:val="es-NI" w:eastAsia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1F3209D8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663CEAC1" w:rsidR="00F610A7" w:rsidRDefault="00C90460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A06DFEE" wp14:editId="743A9450">
            <wp:extent cx="3719648" cy="3048000"/>
            <wp:effectExtent l="0" t="0" r="14605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2A0F4A97" w14:textId="15BDDDCA" w:rsidR="00F84F3A" w:rsidRDefault="00F84F3A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40796DF5" w14:textId="77777777" w:rsidR="00F84F3A" w:rsidRDefault="00F84F3A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27AD5A99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8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958"/>
        <w:gridCol w:w="1003"/>
        <w:gridCol w:w="1003"/>
        <w:gridCol w:w="958"/>
      </w:tblGrid>
      <w:tr w:rsidR="00F84F3A" w:rsidRPr="00F84F3A" w14:paraId="4C4472DA" w14:textId="77777777" w:rsidTr="00FD0C2B">
        <w:trPr>
          <w:trHeight w:val="256"/>
        </w:trPr>
        <w:tc>
          <w:tcPr>
            <w:tcW w:w="4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859620" w14:textId="442F1154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  <w:r w:rsidRPr="00E6242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>MUNICIPIOS</w:t>
            </w:r>
            <w:r w:rsidRPr="00F84F3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45C8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2AC" w14:textId="77777777" w:rsidR="00F84F3A" w:rsidRPr="00F84F3A" w:rsidRDefault="00F84F3A" w:rsidP="00F84F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B23C" w14:textId="77777777" w:rsidR="00F84F3A" w:rsidRPr="00F84F3A" w:rsidRDefault="00F84F3A" w:rsidP="00F84F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1CA" w14:textId="77777777" w:rsidR="00F84F3A" w:rsidRPr="00F84F3A" w:rsidRDefault="00F84F3A" w:rsidP="00F84F3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  <w:tr w:rsidR="00F84F3A" w:rsidRPr="00F84F3A" w14:paraId="34D258A9" w14:textId="77777777" w:rsidTr="00FD0C2B">
        <w:trPr>
          <w:trHeight w:val="256"/>
        </w:trPr>
        <w:tc>
          <w:tcPr>
            <w:tcW w:w="4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6E152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EF59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2E06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F798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68969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4</w:t>
            </w:r>
          </w:p>
        </w:tc>
      </w:tr>
      <w:tr w:rsidR="00F84F3A" w:rsidRPr="00F84F3A" w14:paraId="6BB36610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B3B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JINOTEGA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620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C3D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5FF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634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62A629C5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776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PANTASMA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940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ED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2E6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525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132755A5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6A6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WIWILI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05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291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FE4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2BD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213727FF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B45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CUA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5F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E7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32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0B8F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66A4FC61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A35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BOCAY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4269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A36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B09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B56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5DFCB710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2C8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AYAPAL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1E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0D3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EC51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C12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24966825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C990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SRN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709B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53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136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C77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07B27BD8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11C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YALI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575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B85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1C5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BB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0BF64D48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A59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CONCORDIA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0F8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4E81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E7D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9CC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5A6074B6" w14:textId="77777777" w:rsidTr="00FD0C2B">
        <w:trPr>
          <w:trHeight w:val="244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24A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ALTO WANKI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3E07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E69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802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3ED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F84F3A" w:rsidRPr="00F84F3A" w14:paraId="6DB33338" w14:textId="77777777" w:rsidTr="00FD0C2B">
        <w:trPr>
          <w:trHeight w:val="256"/>
        </w:trPr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D3F" w14:textId="77777777" w:rsidR="00F84F3A" w:rsidRPr="00F84F3A" w:rsidRDefault="00F84F3A" w:rsidP="00F84F3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SILAIS JINOTEGA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4FA4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3AF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087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E78" w14:textId="77777777" w:rsidR="00F84F3A" w:rsidRPr="00F84F3A" w:rsidRDefault="00F84F3A" w:rsidP="00F84F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F84F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0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7363D2F2" w:rsidR="00F610A7" w:rsidRDefault="00F610A7" w:rsidP="00FD0C2B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lastRenderedPageBreak/>
        <w:t xml:space="preserve">En el </w:t>
      </w:r>
      <w:r w:rsidR="00FD0C2B">
        <w:rPr>
          <w:rFonts w:ascii="Arial" w:hAnsi="Arial" w:cs="Arial"/>
          <w:sz w:val="24"/>
          <w:lang w:val="es-NI"/>
        </w:rPr>
        <w:t>mes de enero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FD0C2B">
        <w:rPr>
          <w:rFonts w:ascii="Arial" w:hAnsi="Arial" w:cs="Arial"/>
          <w:sz w:val="24"/>
          <w:lang w:val="es-NI"/>
        </w:rPr>
        <w:t>, principalmente Jinotega, en los demás municipios la</w:t>
      </w:r>
      <w:r w:rsidRPr="009C3318">
        <w:rPr>
          <w:rFonts w:ascii="Arial" w:hAnsi="Arial" w:cs="Arial"/>
          <w:sz w:val="24"/>
          <w:lang w:val="es-NI"/>
        </w:rPr>
        <w:t xml:space="preserve"> transmisión de casos esporádicos</w:t>
      </w:r>
      <w:r w:rsidR="00FD0C2B">
        <w:rPr>
          <w:rFonts w:ascii="Arial" w:hAnsi="Arial" w:cs="Arial"/>
          <w:sz w:val="24"/>
          <w:lang w:val="es-NI"/>
        </w:rPr>
        <w:t>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862" w:type="dxa"/>
        <w:tblInd w:w="2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  <w:gridCol w:w="936"/>
        <w:gridCol w:w="936"/>
      </w:tblGrid>
      <w:tr w:rsidR="007B6833" w:rsidRPr="00F84F3A" w14:paraId="5313BE1D" w14:textId="77777777" w:rsidTr="007B6833">
        <w:trPr>
          <w:trHeight w:val="2452"/>
        </w:trPr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894B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4º semana epidemiológica</w:t>
            </w: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2021 - 2022</w:t>
            </w:r>
            <w:r w:rsidRPr="007B68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7B6833" w:rsidRPr="007B6833" w14:paraId="33875310" w14:textId="77777777" w:rsidTr="007B6833">
        <w:trPr>
          <w:trHeight w:val="357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D65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E4D23E3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2"/>
                <w:lang w:val="es-NI" w:eastAsia="es-NI"/>
              </w:rPr>
            </w:pPr>
            <w:r w:rsidRPr="007B6833">
              <w:rPr>
                <w:rFonts w:ascii="Calibri" w:eastAsia="Times New Roman" w:hAnsi="Calibri" w:cs="Arial"/>
                <w:b/>
                <w:bCs/>
                <w:color w:val="FFFFFF"/>
                <w:sz w:val="22"/>
                <w:lang w:val="es-NI" w:eastAsia="es-NI"/>
              </w:rPr>
              <w:t>2021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06666EC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2"/>
                <w:lang w:val="es-NI" w:eastAsia="es-NI"/>
              </w:rPr>
            </w:pPr>
            <w:r w:rsidRPr="007B6833">
              <w:rPr>
                <w:rFonts w:ascii="Calibri" w:eastAsia="Times New Roman" w:hAnsi="Calibri" w:cs="Arial"/>
                <w:b/>
                <w:bCs/>
                <w:color w:val="FFFFFF"/>
                <w:sz w:val="22"/>
                <w:lang w:val="es-NI" w:eastAsia="es-NI"/>
              </w:rPr>
              <w:t>2022</w:t>
            </w:r>
          </w:p>
        </w:tc>
      </w:tr>
      <w:tr w:rsidR="007B6833" w:rsidRPr="007B6833" w14:paraId="0BB9AF22" w14:textId="77777777" w:rsidTr="007B6833">
        <w:trPr>
          <w:trHeight w:val="289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98A52CB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A97289C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3FDD3F9" w14:textId="77777777" w:rsidR="007B6833" w:rsidRPr="007B6833" w:rsidRDefault="007B6833" w:rsidP="007B683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B6833" w:rsidRPr="007B6833" w14:paraId="1741016E" w14:textId="77777777" w:rsidTr="007B6833">
        <w:trPr>
          <w:trHeight w:val="272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5D40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65F67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6D5B2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7B6833" w:rsidRPr="007B6833" w14:paraId="7AC59BE3" w14:textId="77777777" w:rsidTr="007B6833">
        <w:trPr>
          <w:trHeight w:val="272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A4DD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18C33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C592B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0.01</w:t>
            </w:r>
          </w:p>
        </w:tc>
      </w:tr>
      <w:tr w:rsidR="007B6833" w:rsidRPr="007B6833" w14:paraId="12EEE16B" w14:textId="77777777" w:rsidTr="007B6833">
        <w:trPr>
          <w:trHeight w:val="272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A486E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6C44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5169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0.03</w:t>
            </w:r>
          </w:p>
        </w:tc>
      </w:tr>
      <w:tr w:rsidR="007B6833" w:rsidRPr="007B6833" w14:paraId="23B31CFF" w14:textId="77777777" w:rsidTr="007B6833">
        <w:trPr>
          <w:trHeight w:val="272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8927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CA1B7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4CFC1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0.02</w:t>
            </w:r>
          </w:p>
        </w:tc>
      </w:tr>
      <w:tr w:rsidR="007B6833" w:rsidRPr="007B6833" w14:paraId="34506264" w14:textId="77777777" w:rsidTr="007B6833">
        <w:trPr>
          <w:trHeight w:val="289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96C1C1C" w14:textId="77777777" w:rsidR="007B6833" w:rsidRPr="007B6833" w:rsidRDefault="007B6833" w:rsidP="007B683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37F1DDD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EA969E6" w14:textId="77777777" w:rsidR="007B6833" w:rsidRPr="007B6833" w:rsidRDefault="007B6833" w:rsidP="007B683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B68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0.01</w:t>
            </w:r>
          </w:p>
        </w:tc>
      </w:tr>
    </w:tbl>
    <w:p w14:paraId="13601780" w14:textId="77777777" w:rsidR="00F610A7" w:rsidRPr="00F57498" w:rsidRDefault="00F610A7" w:rsidP="00F610A7">
      <w:pPr>
        <w:rPr>
          <w:lang w:val="es-NI"/>
        </w:rPr>
      </w:pPr>
    </w:p>
    <w:p w14:paraId="68723C26" w14:textId="5772B937" w:rsidR="00F610A7" w:rsidRPr="00F2720A" w:rsidRDefault="00F610A7" w:rsidP="00FD0C2B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FD0C2B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 w:rsidR="00FD0C2B">
        <w:rPr>
          <w:rFonts w:ascii="Arial" w:hAnsi="Arial" w:cs="Arial"/>
          <w:sz w:val="24"/>
          <w:lang w:val="es-NI"/>
        </w:rPr>
        <w:t>0.01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bookmarkStart w:id="0" w:name="_GoBack"/>
      <w:bookmarkEnd w:id="0"/>
    </w:p>
    <w:sectPr w:rsidR="00F610A7" w:rsidRPr="00F2720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42E3" w14:textId="77777777" w:rsidR="00F9306D" w:rsidRDefault="00F9306D" w:rsidP="0097075D">
      <w:pPr>
        <w:spacing w:line="240" w:lineRule="auto"/>
      </w:pPr>
      <w:r>
        <w:separator/>
      </w:r>
    </w:p>
  </w:endnote>
  <w:endnote w:type="continuationSeparator" w:id="0">
    <w:p w14:paraId="2BFA48A4" w14:textId="77777777" w:rsidR="00F9306D" w:rsidRDefault="00F9306D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E3B4" w14:textId="77777777" w:rsidR="00F9306D" w:rsidRDefault="00F9306D" w:rsidP="0097075D">
      <w:pPr>
        <w:spacing w:line="240" w:lineRule="auto"/>
      </w:pPr>
      <w:r>
        <w:separator/>
      </w:r>
    </w:p>
  </w:footnote>
  <w:footnote w:type="continuationSeparator" w:id="0">
    <w:p w14:paraId="002B6085" w14:textId="77777777" w:rsidR="00F9306D" w:rsidRDefault="00F9306D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E3546"/>
    <w:rsid w:val="00150C0E"/>
    <w:rsid w:val="001531A1"/>
    <w:rsid w:val="00167561"/>
    <w:rsid w:val="001808AF"/>
    <w:rsid w:val="001A4623"/>
    <w:rsid w:val="001B69D7"/>
    <w:rsid w:val="001D2628"/>
    <w:rsid w:val="002250BC"/>
    <w:rsid w:val="002373FE"/>
    <w:rsid w:val="00252276"/>
    <w:rsid w:val="0029430E"/>
    <w:rsid w:val="00295E0B"/>
    <w:rsid w:val="0031078C"/>
    <w:rsid w:val="003B50D3"/>
    <w:rsid w:val="003D1A8D"/>
    <w:rsid w:val="00443C86"/>
    <w:rsid w:val="00476933"/>
    <w:rsid w:val="004B089F"/>
    <w:rsid w:val="004B4342"/>
    <w:rsid w:val="004C695C"/>
    <w:rsid w:val="00525D30"/>
    <w:rsid w:val="00574C32"/>
    <w:rsid w:val="00590C19"/>
    <w:rsid w:val="00592509"/>
    <w:rsid w:val="005A4C74"/>
    <w:rsid w:val="005A55C3"/>
    <w:rsid w:val="005B4FD0"/>
    <w:rsid w:val="005B7A75"/>
    <w:rsid w:val="006106AE"/>
    <w:rsid w:val="006339FD"/>
    <w:rsid w:val="00636532"/>
    <w:rsid w:val="00646625"/>
    <w:rsid w:val="00651844"/>
    <w:rsid w:val="006B0CCB"/>
    <w:rsid w:val="006B505F"/>
    <w:rsid w:val="0070067F"/>
    <w:rsid w:val="007350E7"/>
    <w:rsid w:val="00774025"/>
    <w:rsid w:val="007903AA"/>
    <w:rsid w:val="007A3ECF"/>
    <w:rsid w:val="007B6833"/>
    <w:rsid w:val="007E16C5"/>
    <w:rsid w:val="007F59A4"/>
    <w:rsid w:val="00831423"/>
    <w:rsid w:val="008909AB"/>
    <w:rsid w:val="008A5233"/>
    <w:rsid w:val="008B23A7"/>
    <w:rsid w:val="008D5E8B"/>
    <w:rsid w:val="008E326B"/>
    <w:rsid w:val="009044DC"/>
    <w:rsid w:val="0092517A"/>
    <w:rsid w:val="009450CF"/>
    <w:rsid w:val="00965E03"/>
    <w:rsid w:val="0097075D"/>
    <w:rsid w:val="00977FBC"/>
    <w:rsid w:val="009C3318"/>
    <w:rsid w:val="009D2202"/>
    <w:rsid w:val="009D5347"/>
    <w:rsid w:val="009E6B9F"/>
    <w:rsid w:val="009F0123"/>
    <w:rsid w:val="00A165DA"/>
    <w:rsid w:val="00A25944"/>
    <w:rsid w:val="00A8454C"/>
    <w:rsid w:val="00AB6F24"/>
    <w:rsid w:val="00AD31A6"/>
    <w:rsid w:val="00B16BB5"/>
    <w:rsid w:val="00B43A9C"/>
    <w:rsid w:val="00B52D41"/>
    <w:rsid w:val="00BC1B51"/>
    <w:rsid w:val="00C26D55"/>
    <w:rsid w:val="00C4004E"/>
    <w:rsid w:val="00C90460"/>
    <w:rsid w:val="00CA46D1"/>
    <w:rsid w:val="00CC3454"/>
    <w:rsid w:val="00D01CC3"/>
    <w:rsid w:val="00D16887"/>
    <w:rsid w:val="00D474D6"/>
    <w:rsid w:val="00D75557"/>
    <w:rsid w:val="00DA480F"/>
    <w:rsid w:val="00DD393B"/>
    <w:rsid w:val="00DE20CC"/>
    <w:rsid w:val="00DE5A48"/>
    <w:rsid w:val="00E6242A"/>
    <w:rsid w:val="00E65458"/>
    <w:rsid w:val="00EB77AD"/>
    <w:rsid w:val="00F22617"/>
    <w:rsid w:val="00F2720A"/>
    <w:rsid w:val="00F33283"/>
    <w:rsid w:val="00F53755"/>
    <w:rsid w:val="00F57498"/>
    <w:rsid w:val="00F610A7"/>
    <w:rsid w:val="00F76674"/>
    <w:rsid w:val="00F84F3A"/>
    <w:rsid w:val="00F9306D"/>
    <w:rsid w:val="00FA27F6"/>
    <w:rsid w:val="00FC7B51"/>
    <w:rsid w:val="00FD0C2B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epiedmilogica del  mes de Enero  del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'MUESTREO 20222'!$B$2:$B$5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8-42FB-A185-73D0A2CB7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'MUESTREO 20222'!$C$2:$C$5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68-42FB-A185-73D0A2CB7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9-4CE8-9954-F373B4FC29A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General</c:formatCode>
                <c:ptCount val="10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79-4CE8-9954-F373B4FC2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5E-40DE-8D95-399A0CA61117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5E-40DE-8D95-399A0CA61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95315096"/>
        <c:axId val="195315880"/>
      </c:barChart>
      <c:catAx>
        <c:axId val="195315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95315880"/>
        <c:crosses val="autoZero"/>
        <c:auto val="1"/>
        <c:lblAlgn val="ctr"/>
        <c:lblOffset val="100"/>
        <c:noMultiLvlLbl val="0"/>
      </c:catAx>
      <c:valAx>
        <c:axId val="19531588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953150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4º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1-404D-9E9C-3B4BA38D0DDE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81-404D-9E9C-3B4BA38D0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97871592"/>
        <c:axId val="197871984"/>
      </c:barChart>
      <c:catAx>
        <c:axId val="197871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97871984"/>
        <c:crosses val="autoZero"/>
        <c:auto val="1"/>
        <c:lblAlgn val="ctr"/>
        <c:lblOffset val="100"/>
        <c:noMultiLvlLbl val="0"/>
      </c:catAx>
      <c:valAx>
        <c:axId val="19787198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978715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4º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52-41C7-84ED-58B89ED01908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AE52-41C7-84ED-58B89ED01908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52-41C7-84ED-58B89ED01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391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PORCENTUAL DE CASOS X MUNICIPIOS  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17</cp:revision>
  <dcterms:created xsi:type="dcterms:W3CDTF">2022-08-16T20:24:00Z</dcterms:created>
  <dcterms:modified xsi:type="dcterms:W3CDTF">2022-08-17T17:24:00Z</dcterms:modified>
</cp:coreProperties>
</file>