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AB1C8B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34610BBC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A17651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febrero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</w:t>
                            </w:r>
                            <w:r w:rsidR="00F62602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2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1A303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34610BBC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A17651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febrero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</w:t>
                      </w:r>
                      <w:r w:rsidR="00F62602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2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0A0C0D62" w:rsidR="000716B8" w:rsidRDefault="000716B8" w:rsidP="00C4004E">
      <w:pPr>
        <w:jc w:val="center"/>
      </w:pPr>
    </w:p>
    <w:p w14:paraId="0B6A132A" w14:textId="77777777" w:rsidR="00A17651" w:rsidRDefault="00A17651" w:rsidP="00C4004E">
      <w:pPr>
        <w:jc w:val="center"/>
      </w:pPr>
    </w:p>
    <w:p w14:paraId="196B1E62" w14:textId="54AB1DED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A17651">
        <w:rPr>
          <w:rFonts w:ascii="Arial" w:hAnsi="Arial" w:cs="Arial"/>
          <w:b/>
          <w:bCs/>
          <w:sz w:val="44"/>
          <w:lang w:val="es-ES"/>
        </w:rPr>
        <w:t>febrero</w:t>
      </w:r>
      <w:r w:rsidR="00013863"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t>202</w:t>
      </w:r>
      <w:r w:rsidR="00F62602">
        <w:rPr>
          <w:rFonts w:ascii="Arial" w:hAnsi="Arial" w:cs="Arial"/>
          <w:b/>
          <w:bCs/>
          <w:sz w:val="44"/>
          <w:lang w:val="es-ES"/>
        </w:rPr>
        <w:t>2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4B2A804A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661FD623" w:rsidR="00C4004E" w:rsidRDefault="00C4004E" w:rsidP="00C4004E">
      <w:pPr>
        <w:jc w:val="center"/>
        <w:rPr>
          <w:lang w:val="es-NI"/>
        </w:rPr>
      </w:pPr>
    </w:p>
    <w:p w14:paraId="6E66DDE5" w14:textId="7B5B8A95" w:rsidR="0061747B" w:rsidRDefault="0061747B" w:rsidP="00C4004E">
      <w:pPr>
        <w:jc w:val="center"/>
        <w:rPr>
          <w:lang w:val="es-NI"/>
        </w:rPr>
      </w:pPr>
    </w:p>
    <w:p w14:paraId="01E061A8" w14:textId="77777777" w:rsidR="0061747B" w:rsidRPr="00EB2026" w:rsidRDefault="0061747B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677E53" w:rsidRDefault="00F33283" w:rsidP="00F33283">
      <w:pPr>
        <w:rPr>
          <w:rFonts w:ascii="Arial" w:hAnsi="Arial" w:cs="Arial"/>
          <w:b/>
          <w:lang w:val="es-NI"/>
        </w:rPr>
      </w:pPr>
      <w:r w:rsidRPr="00677E53">
        <w:rPr>
          <w:rFonts w:ascii="Arial" w:hAnsi="Arial" w:cs="Arial"/>
          <w:b/>
          <w:lang w:val="es-NI"/>
        </w:rPr>
        <w:t xml:space="preserve">Situación de la epidemia de COVID-19 en </w:t>
      </w:r>
      <w:r w:rsidR="00400FB7" w:rsidRPr="00677E53">
        <w:rPr>
          <w:rFonts w:ascii="Arial" w:hAnsi="Arial" w:cs="Arial"/>
          <w:b/>
          <w:lang w:val="es-NI"/>
        </w:rPr>
        <w:t>Río San Juan</w:t>
      </w:r>
    </w:p>
    <w:p w14:paraId="4C6D03F5" w14:textId="443F2294" w:rsidR="00F33283" w:rsidRDefault="00400FB7" w:rsidP="00F33283">
      <w:pPr>
        <w:rPr>
          <w:b/>
          <w:lang w:val="es-NI"/>
        </w:rPr>
      </w:pPr>
      <w:r w:rsidRPr="00677E53">
        <w:rPr>
          <w:b/>
          <w:lang w:val="es-NI"/>
        </w:rPr>
        <w:t>Grafica No. 1</w:t>
      </w:r>
    </w:p>
    <w:p w14:paraId="451E6726" w14:textId="2666D12E" w:rsidR="00CF52E9" w:rsidRDefault="00A17651" w:rsidP="00F33283">
      <w:pPr>
        <w:rPr>
          <w:b/>
          <w:lang w:val="es-NI"/>
        </w:rPr>
      </w:pPr>
      <w:r>
        <w:rPr>
          <w:noProof/>
        </w:rPr>
        <w:drawing>
          <wp:inline distT="0" distB="0" distL="0" distR="0" wp14:anchorId="5173882F" wp14:editId="75FDA11A">
            <wp:extent cx="6000750" cy="2743200"/>
            <wp:effectExtent l="0" t="0" r="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7453CC7B-0990-E237-2A8C-F92977901F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0D28BF58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</w:t>
      </w:r>
      <w:r w:rsidR="00A17651">
        <w:rPr>
          <w:rFonts w:ascii="Arial" w:hAnsi="Arial" w:cs="Arial"/>
          <w:sz w:val="24"/>
          <w:lang w:val="es-NI"/>
        </w:rPr>
        <w:t>febrero</w:t>
      </w:r>
      <w:r w:rsidR="00FA476C">
        <w:rPr>
          <w:rFonts w:ascii="Arial" w:hAnsi="Arial" w:cs="Arial"/>
          <w:sz w:val="24"/>
          <w:lang w:val="es-NI"/>
        </w:rPr>
        <w:t xml:space="preserve"> </w:t>
      </w:r>
      <w:r w:rsidRPr="003B50D3">
        <w:rPr>
          <w:rFonts w:ascii="Arial" w:hAnsi="Arial" w:cs="Arial"/>
          <w:sz w:val="24"/>
          <w:lang w:val="es-NI"/>
        </w:rPr>
        <w:t xml:space="preserve">del </w:t>
      </w:r>
      <w:r w:rsidR="00F91C2B" w:rsidRPr="003B50D3">
        <w:rPr>
          <w:rFonts w:ascii="Arial" w:hAnsi="Arial" w:cs="Arial"/>
          <w:sz w:val="24"/>
          <w:lang w:val="es-NI"/>
        </w:rPr>
        <w:t>202</w:t>
      </w:r>
      <w:r w:rsidR="00F91C2B">
        <w:rPr>
          <w:rFonts w:ascii="Arial" w:hAnsi="Arial" w:cs="Arial"/>
          <w:sz w:val="24"/>
          <w:lang w:val="es-NI"/>
        </w:rPr>
        <w:t>2 se</w:t>
      </w:r>
      <w:r w:rsidR="00152712">
        <w:rPr>
          <w:rFonts w:ascii="Arial" w:hAnsi="Arial" w:cs="Arial"/>
          <w:sz w:val="24"/>
          <w:lang w:val="es-NI"/>
        </w:rPr>
        <w:t xml:space="preserve"> registr</w:t>
      </w:r>
      <w:r w:rsidR="00CF52E9">
        <w:rPr>
          <w:rFonts w:ascii="Arial" w:hAnsi="Arial" w:cs="Arial"/>
          <w:sz w:val="24"/>
          <w:lang w:val="es-NI"/>
        </w:rPr>
        <w:t xml:space="preserve">aron </w:t>
      </w:r>
      <w:r w:rsidR="00A17651">
        <w:rPr>
          <w:rFonts w:ascii="Arial" w:hAnsi="Arial" w:cs="Arial"/>
          <w:sz w:val="24"/>
          <w:lang w:val="es-NI"/>
        </w:rPr>
        <w:t xml:space="preserve">5 </w:t>
      </w:r>
      <w:r w:rsidR="00CF52E9">
        <w:rPr>
          <w:rFonts w:ascii="Arial" w:hAnsi="Arial" w:cs="Arial"/>
          <w:sz w:val="24"/>
          <w:lang w:val="es-NI"/>
        </w:rPr>
        <w:t>casos</w:t>
      </w:r>
      <w:r w:rsidR="00673044">
        <w:rPr>
          <w:rFonts w:ascii="Arial" w:hAnsi="Arial" w:cs="Arial"/>
          <w:sz w:val="24"/>
          <w:lang w:val="es-NI"/>
        </w:rPr>
        <w:t xml:space="preserve"> de Covid-19 en el Silais RSJ. </w:t>
      </w:r>
      <w:r w:rsidR="00A17651">
        <w:rPr>
          <w:rFonts w:ascii="Arial" w:hAnsi="Arial" w:cs="Arial"/>
          <w:sz w:val="24"/>
          <w:lang w:val="es-NI"/>
        </w:rPr>
        <w:t xml:space="preserve">San Carlos (cabecera departamental) </w:t>
      </w:r>
      <w:r w:rsidR="00F91C2B">
        <w:rPr>
          <w:rFonts w:ascii="Arial" w:hAnsi="Arial" w:cs="Arial"/>
          <w:sz w:val="24"/>
          <w:lang w:val="es-NI"/>
        </w:rPr>
        <w:t>registro 60% de los casos.</w:t>
      </w:r>
      <w:r w:rsidR="00673044">
        <w:rPr>
          <w:rFonts w:ascii="Arial" w:hAnsi="Arial" w:cs="Arial"/>
          <w:sz w:val="24"/>
          <w:lang w:val="es-NI"/>
        </w:rPr>
        <w:t xml:space="preserve"> </w:t>
      </w:r>
      <w:r w:rsidR="00152712">
        <w:rPr>
          <w:rFonts w:ascii="Arial" w:hAnsi="Arial" w:cs="Arial"/>
          <w:sz w:val="24"/>
          <w:lang w:val="es-NI"/>
        </w:rPr>
        <w:t xml:space="preserve"> </w:t>
      </w:r>
      <w:r w:rsidR="00057303">
        <w:rPr>
          <w:rFonts w:ascii="Arial" w:hAnsi="Arial" w:cs="Arial"/>
          <w:sz w:val="24"/>
          <w:lang w:val="es-NI"/>
        </w:rPr>
        <w:t xml:space="preserve">La </w:t>
      </w:r>
      <w:r w:rsidR="00FC78F3">
        <w:rPr>
          <w:rFonts w:ascii="Arial" w:hAnsi="Arial" w:cs="Arial"/>
          <w:sz w:val="24"/>
          <w:lang w:val="es-NI"/>
        </w:rPr>
        <w:t xml:space="preserve">transmisión viral comunitaria </w:t>
      </w:r>
      <w:r w:rsidR="00386F9D">
        <w:rPr>
          <w:rFonts w:ascii="Arial" w:hAnsi="Arial" w:cs="Arial"/>
          <w:sz w:val="24"/>
          <w:lang w:val="es-NI"/>
        </w:rPr>
        <w:t xml:space="preserve">para este periodo </w:t>
      </w:r>
      <w:r w:rsidR="00FC78F3">
        <w:rPr>
          <w:rFonts w:ascii="Arial" w:hAnsi="Arial" w:cs="Arial"/>
          <w:sz w:val="24"/>
          <w:lang w:val="es-NI"/>
        </w:rPr>
        <w:t xml:space="preserve">es de </w:t>
      </w:r>
      <w:r w:rsidR="00386F9D">
        <w:rPr>
          <w:rFonts w:ascii="Arial" w:hAnsi="Arial" w:cs="Arial"/>
          <w:sz w:val="24"/>
          <w:lang w:val="es-NI"/>
        </w:rPr>
        <w:t xml:space="preserve">bajo </w:t>
      </w:r>
      <w:r w:rsidR="00FC78F3">
        <w:rPr>
          <w:rFonts w:ascii="Arial" w:hAnsi="Arial" w:cs="Arial"/>
          <w:sz w:val="24"/>
          <w:lang w:val="es-NI"/>
        </w:rPr>
        <w:t xml:space="preserve">riesgo </w:t>
      </w:r>
      <w:r w:rsidR="00386F9D">
        <w:rPr>
          <w:rFonts w:ascii="Arial" w:hAnsi="Arial" w:cs="Arial"/>
          <w:sz w:val="24"/>
          <w:lang w:val="es-NI"/>
        </w:rPr>
        <w:t xml:space="preserve">para todos los </w:t>
      </w:r>
      <w:r w:rsidR="00152712">
        <w:rPr>
          <w:rFonts w:ascii="Arial" w:hAnsi="Arial" w:cs="Arial"/>
          <w:sz w:val="24"/>
          <w:lang w:val="es-NI"/>
        </w:rPr>
        <w:t>municipios.</w:t>
      </w:r>
    </w:p>
    <w:p w14:paraId="0B701256" w14:textId="4AA23544" w:rsidR="003B50D3" w:rsidRPr="00E71872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 xml:space="preserve">en el grafico No. 1 </w:t>
      </w:r>
      <w:r w:rsidR="0079006D">
        <w:rPr>
          <w:rFonts w:ascii="Arial" w:hAnsi="Arial" w:cs="Arial"/>
          <w:sz w:val="24"/>
          <w:lang w:val="es-NI"/>
        </w:rPr>
        <w:t>el comportamiento de los casos en el periodo evaluado (</w:t>
      </w:r>
      <w:r w:rsidR="00F91C2B">
        <w:rPr>
          <w:rFonts w:ascii="Arial" w:hAnsi="Arial" w:cs="Arial"/>
          <w:sz w:val="24"/>
          <w:lang w:val="es-NI"/>
        </w:rPr>
        <w:t>febrero</w:t>
      </w:r>
      <w:r w:rsidR="00B9347A">
        <w:rPr>
          <w:rFonts w:ascii="Arial" w:hAnsi="Arial" w:cs="Arial"/>
          <w:sz w:val="24"/>
          <w:lang w:val="es-NI"/>
        </w:rPr>
        <w:t xml:space="preserve">, </w:t>
      </w:r>
      <w:r w:rsidR="00EF6B36">
        <w:rPr>
          <w:rFonts w:ascii="Arial" w:hAnsi="Arial" w:cs="Arial"/>
          <w:sz w:val="24"/>
          <w:lang w:val="es-NI"/>
        </w:rPr>
        <w:t xml:space="preserve">SE </w:t>
      </w:r>
      <w:r w:rsidR="00F91C2B">
        <w:rPr>
          <w:rFonts w:ascii="Arial" w:hAnsi="Arial" w:cs="Arial"/>
          <w:sz w:val="24"/>
          <w:lang w:val="es-NI"/>
        </w:rPr>
        <w:t>5</w:t>
      </w:r>
      <w:r w:rsidR="00EF6B36">
        <w:rPr>
          <w:rFonts w:ascii="Arial" w:hAnsi="Arial" w:cs="Arial"/>
          <w:sz w:val="24"/>
          <w:lang w:val="es-NI"/>
        </w:rPr>
        <w:t xml:space="preserve"> – </w:t>
      </w:r>
      <w:r w:rsidR="00F91C2B">
        <w:rPr>
          <w:rFonts w:ascii="Arial" w:hAnsi="Arial" w:cs="Arial"/>
          <w:sz w:val="24"/>
          <w:lang w:val="es-NI"/>
        </w:rPr>
        <w:t>8</w:t>
      </w:r>
      <w:r w:rsidR="0079006D">
        <w:rPr>
          <w:rFonts w:ascii="Arial" w:hAnsi="Arial" w:cs="Arial"/>
          <w:sz w:val="24"/>
          <w:lang w:val="es-NI"/>
        </w:rPr>
        <w:t xml:space="preserve">) y el acumulado. </w:t>
      </w:r>
      <w:r w:rsidR="00F91C2B">
        <w:rPr>
          <w:rFonts w:ascii="Arial" w:hAnsi="Arial" w:cs="Arial"/>
          <w:sz w:val="24"/>
          <w:lang w:val="es-NI"/>
        </w:rPr>
        <w:t>Tres de los seis municipios (Morrito, San Miguelito y San Carlos) registraron casos (1, 1, 3 respectivamente).</w:t>
      </w:r>
      <w:r w:rsidR="005E341F">
        <w:rPr>
          <w:rFonts w:ascii="Arial" w:hAnsi="Arial" w:cs="Arial"/>
          <w:sz w:val="24"/>
          <w:lang w:val="es-NI"/>
        </w:rPr>
        <w:t xml:space="preserve">  </w:t>
      </w:r>
      <w:r w:rsidR="0079006D">
        <w:rPr>
          <w:rFonts w:ascii="Arial" w:hAnsi="Arial" w:cs="Arial"/>
          <w:sz w:val="24"/>
          <w:lang w:val="es-NI"/>
        </w:rPr>
        <w:t xml:space="preserve">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41651D18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20857CF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EE99F00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66EC655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7D5E29D8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D3C9819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03C57C7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1B32C2D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66B1AF8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B75FF3B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BEE6FC7" w14:textId="65F6786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lastRenderedPageBreak/>
        <w:t>Casos COVID-19 por grupos de edad y sexo</w:t>
      </w:r>
    </w:p>
    <w:p w14:paraId="4EC6B8AF" w14:textId="7CDA66A0" w:rsidR="00F610A7" w:rsidRPr="00167561" w:rsidRDefault="00E71872" w:rsidP="00F610A7">
      <w:pPr>
        <w:jc w:val="both"/>
        <w:rPr>
          <w:rFonts w:ascii="Arial" w:hAnsi="Arial" w:cs="Arial"/>
          <w:b/>
          <w:sz w:val="16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el periodo evaluado </w:t>
      </w:r>
      <w:r w:rsidR="00F91C2B">
        <w:rPr>
          <w:rFonts w:ascii="Arial" w:hAnsi="Arial" w:cs="Arial"/>
          <w:sz w:val="24"/>
          <w:lang w:val="es-NI"/>
        </w:rPr>
        <w:t xml:space="preserve">se registraron cinco casos, uno de ellos </w:t>
      </w:r>
      <w:r w:rsidR="0031300B">
        <w:rPr>
          <w:rFonts w:ascii="Arial" w:hAnsi="Arial" w:cs="Arial"/>
          <w:sz w:val="24"/>
          <w:lang w:val="es-NI"/>
        </w:rPr>
        <w:t xml:space="preserve">fue mayor de 65 años. Los restantes están entre 16 y 59 años. </w:t>
      </w: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5FDC8644" w:rsidR="00F610A7" w:rsidRDefault="00F610A7" w:rsidP="00F610A7">
      <w:pPr>
        <w:rPr>
          <w:sz w:val="10"/>
          <w:lang w:val="es-N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607"/>
        <w:gridCol w:w="2080"/>
        <w:gridCol w:w="2555"/>
      </w:tblGrid>
      <w:tr w:rsidR="0031300B" w:rsidRPr="0031300B" w14:paraId="7D9E1A0A" w14:textId="77777777" w:rsidTr="0031300B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2AFC6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31300B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Casos y tasas COVID 19 por municipios, Silais RSJ febrero 2022 (por 10,000 habitantes)</w:t>
            </w:r>
          </w:p>
        </w:tc>
      </w:tr>
      <w:tr w:rsidR="0031300B" w:rsidRPr="0031300B" w14:paraId="6FE650FE" w14:textId="77777777" w:rsidTr="0031300B">
        <w:trPr>
          <w:trHeight w:val="330"/>
        </w:trPr>
        <w:tc>
          <w:tcPr>
            <w:tcW w:w="1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559ED0A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5E778C4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2C10D2C4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C7281B2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31300B" w:rsidRPr="0031300B" w14:paraId="204EFBA3" w14:textId="77777777" w:rsidTr="0031300B">
        <w:trPr>
          <w:trHeight w:val="330"/>
        </w:trPr>
        <w:tc>
          <w:tcPr>
            <w:tcW w:w="1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E1D7A" w14:textId="77777777" w:rsidR="0031300B" w:rsidRPr="0031300B" w:rsidRDefault="0031300B" w:rsidP="0031300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57DBF3E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41E72FB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F2DEFA1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</w:tr>
      <w:tr w:rsidR="0031300B" w:rsidRPr="0031300B" w14:paraId="55B2F730" w14:textId="77777777" w:rsidTr="0031300B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85158" w14:textId="77777777" w:rsidR="0031300B" w:rsidRPr="0031300B" w:rsidRDefault="0031300B" w:rsidP="0031300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54820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7613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CE572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F697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1.3</w:t>
            </w:r>
          </w:p>
        </w:tc>
      </w:tr>
      <w:tr w:rsidR="0031300B" w:rsidRPr="0031300B" w14:paraId="2DE35774" w14:textId="77777777" w:rsidTr="0031300B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E1DA" w14:textId="77777777" w:rsidR="0031300B" w:rsidRPr="0031300B" w:rsidRDefault="0031300B" w:rsidP="0031300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33E0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15172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DD62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5DD9B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31300B" w:rsidRPr="0031300B" w14:paraId="48B93C5F" w14:textId="77777777" w:rsidTr="0031300B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D64F" w14:textId="77777777" w:rsidR="0031300B" w:rsidRPr="0031300B" w:rsidRDefault="0031300B" w:rsidP="0031300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4E05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19433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EDEE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DB4AD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0.5</w:t>
            </w:r>
          </w:p>
        </w:tc>
      </w:tr>
      <w:tr w:rsidR="0031300B" w:rsidRPr="0031300B" w14:paraId="1E0767DD" w14:textId="77777777" w:rsidTr="0031300B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DD518" w14:textId="77777777" w:rsidR="0031300B" w:rsidRPr="0031300B" w:rsidRDefault="0031300B" w:rsidP="0031300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9F43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52055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E80E3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8378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0.6</w:t>
            </w:r>
          </w:p>
        </w:tc>
      </w:tr>
      <w:tr w:rsidR="0031300B" w:rsidRPr="0031300B" w14:paraId="3FF0EA79" w14:textId="77777777" w:rsidTr="0031300B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57E3" w14:textId="77777777" w:rsidR="0031300B" w:rsidRPr="0031300B" w:rsidRDefault="0031300B" w:rsidP="0031300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67B2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41974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6F567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2CD0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31300B" w:rsidRPr="0031300B" w14:paraId="1D47EBFE" w14:textId="77777777" w:rsidTr="0031300B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05AB" w14:textId="77777777" w:rsidR="0031300B" w:rsidRPr="0031300B" w:rsidRDefault="0031300B" w:rsidP="0031300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61F34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2722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DC90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75DF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31300B" w:rsidRPr="0031300B" w14:paraId="5228F2DB" w14:textId="77777777" w:rsidTr="0031300B">
        <w:trPr>
          <w:trHeight w:val="330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B352C0A" w14:textId="77777777" w:rsidR="0031300B" w:rsidRPr="0031300B" w:rsidRDefault="0031300B" w:rsidP="0031300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1E76162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140991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48FE037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E998250" w14:textId="77777777" w:rsidR="0031300B" w:rsidRPr="0031300B" w:rsidRDefault="0031300B" w:rsidP="0031300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1300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0.4</w:t>
            </w:r>
          </w:p>
        </w:tc>
      </w:tr>
    </w:tbl>
    <w:p w14:paraId="2A17BBFE" w14:textId="6B93B837" w:rsidR="003E6EE0" w:rsidRDefault="003E6EE0" w:rsidP="00F610A7">
      <w:pPr>
        <w:rPr>
          <w:sz w:val="10"/>
          <w:lang w:val="es-NI"/>
        </w:rPr>
      </w:pPr>
    </w:p>
    <w:p w14:paraId="1D0F17FC" w14:textId="77777777" w:rsidR="003E6EE0" w:rsidRDefault="003E6EE0" w:rsidP="00F610A7">
      <w:pPr>
        <w:rPr>
          <w:sz w:val="10"/>
          <w:lang w:val="es-NI"/>
        </w:rPr>
      </w:pPr>
    </w:p>
    <w:p w14:paraId="2A7332ED" w14:textId="77777777" w:rsidR="003E6EE0" w:rsidRPr="00F610A7" w:rsidRDefault="003E6EE0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0E0D7490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2377D0">
        <w:rPr>
          <w:rFonts w:ascii="Arial" w:hAnsi="Arial" w:cs="Arial"/>
          <w:sz w:val="24"/>
          <w:lang w:val="es-NI"/>
        </w:rPr>
        <w:t>enero</w:t>
      </w:r>
      <w:r w:rsidR="00A66598">
        <w:rPr>
          <w:rFonts w:ascii="Arial" w:hAnsi="Arial" w:cs="Arial"/>
          <w:sz w:val="24"/>
          <w:lang w:val="es-NI"/>
        </w:rPr>
        <w:t xml:space="preserve"> </w:t>
      </w:r>
      <w:r w:rsidRPr="009C3318">
        <w:rPr>
          <w:rFonts w:ascii="Arial" w:hAnsi="Arial" w:cs="Arial"/>
          <w:sz w:val="24"/>
          <w:lang w:val="es-NI"/>
        </w:rPr>
        <w:t>202</w:t>
      </w:r>
      <w:r w:rsidR="002377D0">
        <w:rPr>
          <w:rFonts w:ascii="Arial" w:hAnsi="Arial" w:cs="Arial"/>
          <w:sz w:val="24"/>
          <w:lang w:val="es-NI"/>
        </w:rPr>
        <w:t>2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 w:rsidR="00E71872">
        <w:rPr>
          <w:rFonts w:ascii="Arial" w:hAnsi="Arial" w:cs="Arial"/>
          <w:sz w:val="24"/>
          <w:lang w:val="es-NI"/>
        </w:rPr>
        <w:t xml:space="preserve">el nivel de transmisión comunitaria se mantiene en bajo </w:t>
      </w:r>
      <w:r w:rsidR="0031300B">
        <w:rPr>
          <w:rFonts w:ascii="Arial" w:hAnsi="Arial" w:cs="Arial"/>
          <w:sz w:val="24"/>
          <w:lang w:val="es-NI"/>
        </w:rPr>
        <w:t>nivel, sin embargo, se registraron los primeros cinco casos del año</w:t>
      </w:r>
      <w:r w:rsidR="000F5107">
        <w:rPr>
          <w:rFonts w:ascii="Arial" w:hAnsi="Arial" w:cs="Arial"/>
          <w:sz w:val="24"/>
          <w:lang w:val="es-NI"/>
        </w:rPr>
        <w:t xml:space="preserve"> en tres de seis municipios con San Carlos (cabecera departamental) fue el municipio de mayor número de casos. 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BE0D" w14:textId="77777777" w:rsidR="00AB1C8B" w:rsidRDefault="00AB1C8B" w:rsidP="0097075D">
      <w:pPr>
        <w:spacing w:line="240" w:lineRule="auto"/>
      </w:pPr>
      <w:r>
        <w:separator/>
      </w:r>
    </w:p>
  </w:endnote>
  <w:endnote w:type="continuationSeparator" w:id="0">
    <w:p w14:paraId="37D1BE87" w14:textId="77777777" w:rsidR="00AB1C8B" w:rsidRDefault="00AB1C8B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9B34" w14:textId="77777777" w:rsidR="00AB1C8B" w:rsidRDefault="00AB1C8B" w:rsidP="0097075D">
      <w:pPr>
        <w:spacing w:line="240" w:lineRule="auto"/>
      </w:pPr>
      <w:r>
        <w:separator/>
      </w:r>
    </w:p>
  </w:footnote>
  <w:footnote w:type="continuationSeparator" w:id="0">
    <w:p w14:paraId="7D651856" w14:textId="77777777" w:rsidR="00AB1C8B" w:rsidRDefault="00AB1C8B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3A4BC883" w:rsidR="000716B8" w:rsidRPr="000716B8" w:rsidRDefault="00F62602">
    <w:pPr>
      <w:pStyle w:val="Encabezado"/>
      <w:rPr>
        <w:lang w:val="es-NI"/>
      </w:rPr>
    </w:pPr>
    <w:r w:rsidRPr="00F62602">
      <w:rPr>
        <w:rFonts w:eastAsia="Times New Roman" w:cs="Times New Roman"/>
        <w:noProof/>
        <w:sz w:val="35"/>
        <w:szCs w:val="24"/>
        <w:lang w:val="es-NI" w:eastAsia="es-NI"/>
      </w:rPr>
      <w:drawing>
        <wp:inline distT="0" distB="0" distL="0" distR="0" wp14:anchorId="08582621" wp14:editId="10FA7DC7">
          <wp:extent cx="6328848" cy="885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5286" cy="886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16B8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D85"/>
    <w:rsid w:val="0001317B"/>
    <w:rsid w:val="00013863"/>
    <w:rsid w:val="00016019"/>
    <w:rsid w:val="000205D9"/>
    <w:rsid w:val="0002450E"/>
    <w:rsid w:val="0003779B"/>
    <w:rsid w:val="000443F1"/>
    <w:rsid w:val="0004734B"/>
    <w:rsid w:val="00056D29"/>
    <w:rsid w:val="00057303"/>
    <w:rsid w:val="000716B8"/>
    <w:rsid w:val="00074D95"/>
    <w:rsid w:val="00074F96"/>
    <w:rsid w:val="00080E88"/>
    <w:rsid w:val="000A08C9"/>
    <w:rsid w:val="000C04E5"/>
    <w:rsid w:val="000E3546"/>
    <w:rsid w:val="000E40D5"/>
    <w:rsid w:val="000F5107"/>
    <w:rsid w:val="00104968"/>
    <w:rsid w:val="00104CBA"/>
    <w:rsid w:val="001312F7"/>
    <w:rsid w:val="00150C0E"/>
    <w:rsid w:val="00152712"/>
    <w:rsid w:val="00161E0F"/>
    <w:rsid w:val="00167561"/>
    <w:rsid w:val="001808AF"/>
    <w:rsid w:val="00194C4B"/>
    <w:rsid w:val="001A4623"/>
    <w:rsid w:val="001A67DD"/>
    <w:rsid w:val="001B2B31"/>
    <w:rsid w:val="001B69D7"/>
    <w:rsid w:val="001F2996"/>
    <w:rsid w:val="002373FE"/>
    <w:rsid w:val="002377D0"/>
    <w:rsid w:val="00243CB8"/>
    <w:rsid w:val="00252276"/>
    <w:rsid w:val="0029430E"/>
    <w:rsid w:val="00295E0B"/>
    <w:rsid w:val="00300B38"/>
    <w:rsid w:val="0031078C"/>
    <w:rsid w:val="0031300B"/>
    <w:rsid w:val="003172C7"/>
    <w:rsid w:val="003176F6"/>
    <w:rsid w:val="003331E8"/>
    <w:rsid w:val="00334DD9"/>
    <w:rsid w:val="00342E6E"/>
    <w:rsid w:val="00386F9D"/>
    <w:rsid w:val="003B50D3"/>
    <w:rsid w:val="003D1A8D"/>
    <w:rsid w:val="003E6EE0"/>
    <w:rsid w:val="00400FB7"/>
    <w:rsid w:val="0043134E"/>
    <w:rsid w:val="00443C86"/>
    <w:rsid w:val="00443D84"/>
    <w:rsid w:val="00464573"/>
    <w:rsid w:val="004664DD"/>
    <w:rsid w:val="00467A1B"/>
    <w:rsid w:val="00471518"/>
    <w:rsid w:val="00476711"/>
    <w:rsid w:val="004845F7"/>
    <w:rsid w:val="00492BCB"/>
    <w:rsid w:val="004A744B"/>
    <w:rsid w:val="004B089F"/>
    <w:rsid w:val="004B4342"/>
    <w:rsid w:val="004C695C"/>
    <w:rsid w:val="004E7AAD"/>
    <w:rsid w:val="004F0027"/>
    <w:rsid w:val="00525D30"/>
    <w:rsid w:val="00547046"/>
    <w:rsid w:val="00547185"/>
    <w:rsid w:val="00574C32"/>
    <w:rsid w:val="00590C19"/>
    <w:rsid w:val="00592509"/>
    <w:rsid w:val="005A4C74"/>
    <w:rsid w:val="005A55C3"/>
    <w:rsid w:val="005B7A75"/>
    <w:rsid w:val="005D510B"/>
    <w:rsid w:val="005E341F"/>
    <w:rsid w:val="006106AE"/>
    <w:rsid w:val="00610C09"/>
    <w:rsid w:val="00614786"/>
    <w:rsid w:val="0061747B"/>
    <w:rsid w:val="006339FD"/>
    <w:rsid w:val="00636532"/>
    <w:rsid w:val="00646625"/>
    <w:rsid w:val="006571EF"/>
    <w:rsid w:val="00673044"/>
    <w:rsid w:val="00675911"/>
    <w:rsid w:val="00677E53"/>
    <w:rsid w:val="006974DF"/>
    <w:rsid w:val="006B0CCB"/>
    <w:rsid w:val="006B505F"/>
    <w:rsid w:val="006D572A"/>
    <w:rsid w:val="006E05C5"/>
    <w:rsid w:val="0070067F"/>
    <w:rsid w:val="007350E7"/>
    <w:rsid w:val="007674B4"/>
    <w:rsid w:val="00774025"/>
    <w:rsid w:val="0079006D"/>
    <w:rsid w:val="007A3ECF"/>
    <w:rsid w:val="007E16C5"/>
    <w:rsid w:val="007F59A4"/>
    <w:rsid w:val="00800C85"/>
    <w:rsid w:val="00831423"/>
    <w:rsid w:val="0085701E"/>
    <w:rsid w:val="008909AB"/>
    <w:rsid w:val="008A5233"/>
    <w:rsid w:val="008B23A7"/>
    <w:rsid w:val="008D5E8B"/>
    <w:rsid w:val="009044DC"/>
    <w:rsid w:val="00910A42"/>
    <w:rsid w:val="0092517A"/>
    <w:rsid w:val="009450CF"/>
    <w:rsid w:val="0095481C"/>
    <w:rsid w:val="00965E03"/>
    <w:rsid w:val="00965E56"/>
    <w:rsid w:val="0097075D"/>
    <w:rsid w:val="009C3318"/>
    <w:rsid w:val="009D2202"/>
    <w:rsid w:val="009D5347"/>
    <w:rsid w:val="009E6B9F"/>
    <w:rsid w:val="00A165DA"/>
    <w:rsid w:val="00A17651"/>
    <w:rsid w:val="00A25944"/>
    <w:rsid w:val="00A66598"/>
    <w:rsid w:val="00A73D36"/>
    <w:rsid w:val="00A8454C"/>
    <w:rsid w:val="00AB1C8B"/>
    <w:rsid w:val="00AB6F24"/>
    <w:rsid w:val="00AC49F2"/>
    <w:rsid w:val="00AD31A6"/>
    <w:rsid w:val="00B00805"/>
    <w:rsid w:val="00B16BB5"/>
    <w:rsid w:val="00B22DBE"/>
    <w:rsid w:val="00B43A9C"/>
    <w:rsid w:val="00B51E6F"/>
    <w:rsid w:val="00B52D41"/>
    <w:rsid w:val="00B61BFC"/>
    <w:rsid w:val="00B64E23"/>
    <w:rsid w:val="00B9347A"/>
    <w:rsid w:val="00BA025E"/>
    <w:rsid w:val="00BA0919"/>
    <w:rsid w:val="00BB5EA8"/>
    <w:rsid w:val="00BC06F9"/>
    <w:rsid w:val="00BF5986"/>
    <w:rsid w:val="00C228E8"/>
    <w:rsid w:val="00C4004E"/>
    <w:rsid w:val="00C4477F"/>
    <w:rsid w:val="00C465AA"/>
    <w:rsid w:val="00C7581E"/>
    <w:rsid w:val="00CA46D1"/>
    <w:rsid w:val="00CC3454"/>
    <w:rsid w:val="00CF52E9"/>
    <w:rsid w:val="00D01CC3"/>
    <w:rsid w:val="00D16887"/>
    <w:rsid w:val="00D316E1"/>
    <w:rsid w:val="00D8487B"/>
    <w:rsid w:val="00DA24FF"/>
    <w:rsid w:val="00DA480F"/>
    <w:rsid w:val="00DD393B"/>
    <w:rsid w:val="00DE20CC"/>
    <w:rsid w:val="00DE5A48"/>
    <w:rsid w:val="00E15CAD"/>
    <w:rsid w:val="00E60FBA"/>
    <w:rsid w:val="00E65458"/>
    <w:rsid w:val="00E71872"/>
    <w:rsid w:val="00E9407A"/>
    <w:rsid w:val="00EA13B8"/>
    <w:rsid w:val="00EB2026"/>
    <w:rsid w:val="00EB77AD"/>
    <w:rsid w:val="00ED6927"/>
    <w:rsid w:val="00EE35FD"/>
    <w:rsid w:val="00EE3E0D"/>
    <w:rsid w:val="00EF6B36"/>
    <w:rsid w:val="00F05CF8"/>
    <w:rsid w:val="00F22617"/>
    <w:rsid w:val="00F24D16"/>
    <w:rsid w:val="00F2720A"/>
    <w:rsid w:val="00F33283"/>
    <w:rsid w:val="00F5256C"/>
    <w:rsid w:val="00F53755"/>
    <w:rsid w:val="00F57498"/>
    <w:rsid w:val="00F610A7"/>
    <w:rsid w:val="00F62602"/>
    <w:rsid w:val="00F76674"/>
    <w:rsid w:val="00F91C2B"/>
    <w:rsid w:val="00FA185A"/>
    <w:rsid w:val="00FA27F6"/>
    <w:rsid w:val="00FA476C"/>
    <w:rsid w:val="00FC78F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600"/>
              <a:t>Casos de Covid-19, RSJ, SE 5- 8_2022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Hoja1!$B$30:$I$30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Hoja1!$B$37:$I$37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A1-4607-9E91-29D9368D62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3546240"/>
        <c:axId val="733546896"/>
      </c:lineChart>
      <c:catAx>
        <c:axId val="733546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/>
                  <a:t>Semanas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733546896"/>
        <c:crosses val="autoZero"/>
        <c:auto val="1"/>
        <c:lblAlgn val="ctr"/>
        <c:lblOffset val="100"/>
        <c:noMultiLvlLbl val="0"/>
      </c:catAx>
      <c:valAx>
        <c:axId val="733546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733546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227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227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3</cp:revision>
  <dcterms:created xsi:type="dcterms:W3CDTF">2022-08-17T00:35:00Z</dcterms:created>
  <dcterms:modified xsi:type="dcterms:W3CDTF">2022-08-17T01:06:00Z</dcterms:modified>
</cp:coreProperties>
</file>