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27818" w:rsidRDefault="00727818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04D5B" w:rsidRDefault="00204D5B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18" w:rsidRDefault="00727818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727818" w:rsidRDefault="00727818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</w:t>
                            </w:r>
                            <w:r w:rsidR="007B7F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727818" w:rsidRDefault="00727818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727818" w:rsidRDefault="00727818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COVID – 19 </w:t>
                      </w:r>
                      <w:r w:rsidR="007B7F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7B7F47">
        <w:rPr>
          <w:rFonts w:ascii="Arial" w:hAnsi="Arial" w:cs="Arial"/>
          <w:b/>
          <w:bCs/>
          <w:sz w:val="44"/>
          <w:lang w:val="es-ES"/>
        </w:rPr>
        <w:t>Octubre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F07C16">
        <w:rPr>
          <w:rFonts w:ascii="Arial" w:hAnsi="Arial" w:cs="Arial"/>
          <w:sz w:val="36"/>
        </w:rPr>
        <w:t>Octubre</w:t>
      </w:r>
      <w:r>
        <w:rPr>
          <w:rFonts w:ascii="Arial" w:hAnsi="Arial" w:cs="Arial"/>
          <w:sz w:val="36"/>
        </w:rPr>
        <w:t xml:space="preserve"> 2021</w:t>
      </w:r>
    </w:p>
    <w:p w:rsidR="00B8169E" w:rsidRPr="005E7C24" w:rsidRDefault="00F07C16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0EE4F918" wp14:editId="60D5E1F9">
            <wp:extent cx="4572000" cy="260032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DE64B1">
        <w:rPr>
          <w:rFonts w:ascii="Arial" w:hAnsi="Arial" w:cs="Arial"/>
          <w:sz w:val="24"/>
        </w:rPr>
        <w:t>Octubre</w:t>
      </w:r>
      <w:r w:rsidR="0056544E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361401">
        <w:rPr>
          <w:rFonts w:ascii="Arial" w:hAnsi="Arial" w:cs="Arial"/>
          <w:sz w:val="24"/>
        </w:rPr>
        <w:t xml:space="preserve"> las primeras 22 semanas del año fueron de control epidemiológic</w:t>
      </w:r>
      <w:r w:rsidR="00341CD1">
        <w:rPr>
          <w:rFonts w:ascii="Arial" w:hAnsi="Arial" w:cs="Arial"/>
          <w:sz w:val="24"/>
        </w:rPr>
        <w:t>o</w:t>
      </w:r>
      <w:r w:rsidRPr="003B50D3">
        <w:rPr>
          <w:rFonts w:ascii="Arial" w:hAnsi="Arial" w:cs="Arial"/>
          <w:sz w:val="24"/>
        </w:rPr>
        <w:t xml:space="preserve">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341CD1">
        <w:rPr>
          <w:rFonts w:ascii="Arial" w:hAnsi="Arial" w:cs="Arial"/>
          <w:sz w:val="24"/>
          <w:lang w:val="es-MX"/>
        </w:rPr>
        <w:t xml:space="preserve"> las últimas 1</w:t>
      </w:r>
      <w:r w:rsidR="00F104C9">
        <w:rPr>
          <w:rFonts w:ascii="Arial" w:hAnsi="Arial" w:cs="Arial"/>
          <w:sz w:val="24"/>
          <w:lang w:val="es-MX"/>
        </w:rPr>
        <w:t>7</w:t>
      </w:r>
      <w:r w:rsidR="00341CD1">
        <w:rPr>
          <w:rFonts w:ascii="Arial" w:hAnsi="Arial" w:cs="Arial"/>
          <w:sz w:val="24"/>
          <w:lang w:val="es-MX"/>
        </w:rPr>
        <w:t xml:space="preserve"> semanas fue de un ascenso de casos</w:t>
      </w:r>
      <w:r w:rsidR="00F66C22">
        <w:rPr>
          <w:rFonts w:ascii="Arial" w:hAnsi="Arial" w:cs="Arial"/>
          <w:sz w:val="24"/>
          <w:lang w:val="es-MX"/>
        </w:rPr>
        <w:t xml:space="preserve">, </w:t>
      </w:r>
      <w:r w:rsidR="00F66C22" w:rsidRPr="003B50D3">
        <w:rPr>
          <w:rFonts w:ascii="Arial" w:hAnsi="Arial" w:cs="Arial"/>
          <w:sz w:val="24"/>
          <w:lang w:val="es-MX"/>
        </w:rPr>
        <w:t xml:space="preserve">que </w:t>
      </w:r>
      <w:r w:rsidR="00F66C22">
        <w:rPr>
          <w:rFonts w:ascii="Arial" w:hAnsi="Arial" w:cs="Arial"/>
          <w:sz w:val="24"/>
          <w:lang w:val="es-MX"/>
        </w:rPr>
        <w:t>supero la incidencia</w:t>
      </w:r>
      <w:r w:rsidR="00F66C22" w:rsidRPr="003B50D3">
        <w:rPr>
          <w:rFonts w:ascii="Arial" w:hAnsi="Arial" w:cs="Arial"/>
          <w:sz w:val="24"/>
          <w:lang w:val="es-MX"/>
        </w:rPr>
        <w:t xml:space="preserve"> de casos al compararlo con la curva del año 2020.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64643">
        <w:rPr>
          <w:rFonts w:ascii="Arial" w:hAnsi="Arial" w:cs="Arial"/>
          <w:sz w:val="24"/>
          <w:lang w:val="es-MX"/>
        </w:rPr>
        <w:t xml:space="preserve">  </w:t>
      </w:r>
      <w:r w:rsidR="007F1A4E">
        <w:rPr>
          <w:rFonts w:ascii="Arial" w:hAnsi="Arial" w:cs="Arial"/>
          <w:sz w:val="24"/>
          <w:lang w:val="es-MX"/>
        </w:rPr>
        <w:t>7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7F1A4E">
        <w:rPr>
          <w:rFonts w:ascii="Arial" w:hAnsi="Arial" w:cs="Arial"/>
          <w:sz w:val="24"/>
          <w:lang w:val="es-MX"/>
        </w:rPr>
        <w:t>1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BF0B50">
        <w:rPr>
          <w:rFonts w:ascii="Arial" w:hAnsi="Arial" w:cs="Arial"/>
          <w:sz w:val="24"/>
          <w:lang w:val="es-MX"/>
        </w:rPr>
        <w:t>82</w:t>
      </w:r>
      <w:r w:rsidR="00EF0C09">
        <w:rPr>
          <w:rFonts w:ascii="Arial" w:hAnsi="Arial" w:cs="Arial"/>
          <w:sz w:val="24"/>
          <w:lang w:val="es-MX"/>
        </w:rPr>
        <w:t>.</w:t>
      </w:r>
      <w:r w:rsidR="00BF0B50">
        <w:rPr>
          <w:rFonts w:ascii="Arial" w:hAnsi="Arial" w:cs="Arial"/>
          <w:sz w:val="24"/>
          <w:lang w:val="es-MX"/>
        </w:rPr>
        <w:t>2</w:t>
      </w:r>
      <w:r w:rsidR="00EF0C09">
        <w:rPr>
          <w:rFonts w:ascii="Arial" w:hAnsi="Arial" w:cs="Arial"/>
          <w:sz w:val="24"/>
          <w:lang w:val="es-MX"/>
        </w:rPr>
        <w:t>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B87D47">
        <w:rPr>
          <w:rFonts w:ascii="Arial" w:hAnsi="Arial" w:cs="Arial"/>
          <w:sz w:val="24"/>
          <w:lang w:val="es-MX"/>
        </w:rPr>
        <w:t>0.</w:t>
      </w:r>
      <w:r w:rsidR="00BF0B50">
        <w:rPr>
          <w:rFonts w:ascii="Arial" w:hAnsi="Arial" w:cs="Arial"/>
          <w:sz w:val="24"/>
          <w:lang w:val="es-MX"/>
        </w:rPr>
        <w:t>7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D21D0E" w:rsidP="00D21D0E">
      <w:pPr>
        <w:jc w:val="center"/>
        <w:rPr>
          <w:rFonts w:ascii="Arial" w:hAnsi="Arial" w:cs="Arial"/>
          <w:sz w:val="36"/>
        </w:rPr>
      </w:pPr>
      <w:r w:rsidRPr="00C47B83">
        <w:rPr>
          <w:rFonts w:ascii="Arial" w:hAnsi="Arial" w:cs="Arial"/>
          <w:sz w:val="36"/>
        </w:rPr>
        <w:lastRenderedPageBreak/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BF0B50">
        <w:rPr>
          <w:rFonts w:ascii="Arial" w:hAnsi="Arial" w:cs="Arial"/>
          <w:sz w:val="36"/>
        </w:rPr>
        <w:t>Octubre</w:t>
      </w:r>
      <w:r w:rsidRPr="00C47B83">
        <w:rPr>
          <w:rFonts w:ascii="Arial" w:hAnsi="Arial" w:cs="Arial"/>
          <w:sz w:val="36"/>
        </w:rPr>
        <w:t xml:space="preserve"> 2021</w:t>
      </w:r>
    </w:p>
    <w:p w:rsidR="008C4536" w:rsidRDefault="00B24BDA" w:rsidP="00D21D0E">
      <w:pPr>
        <w:jc w:val="center"/>
        <w:rPr>
          <w:noProof/>
          <w:lang w:eastAsia="es-NI"/>
        </w:rPr>
      </w:pPr>
      <w:r>
        <w:rPr>
          <w:noProof/>
          <w:lang w:eastAsia="es-NI"/>
        </w:rPr>
        <w:drawing>
          <wp:inline distT="0" distB="0" distL="0" distR="0" wp14:anchorId="2B2D70BD" wp14:editId="155F0A2E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33EB" w:rsidRDefault="006633EB" w:rsidP="00F77926">
      <w:pPr>
        <w:rPr>
          <w:noProof/>
          <w:lang w:eastAsia="es-NI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0F035F">
        <w:rPr>
          <w:rFonts w:ascii="Arial" w:hAnsi="Arial" w:cs="Arial"/>
          <w:sz w:val="24"/>
          <w:szCs w:val="24"/>
        </w:rPr>
        <w:t xml:space="preserve">, San Jorge </w:t>
      </w:r>
      <w:r w:rsidR="00622282">
        <w:rPr>
          <w:rFonts w:ascii="Arial" w:hAnsi="Arial" w:cs="Arial"/>
          <w:sz w:val="24"/>
          <w:szCs w:val="24"/>
        </w:rPr>
        <w:t xml:space="preserve">y Tola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622282">
        <w:rPr>
          <w:rFonts w:ascii="Arial" w:hAnsi="Arial" w:cs="Arial"/>
          <w:sz w:val="24"/>
          <w:szCs w:val="24"/>
        </w:rPr>
        <w:t>2</w:t>
      </w:r>
      <w:r w:rsidR="00C5103E">
        <w:rPr>
          <w:rFonts w:ascii="Arial" w:hAnsi="Arial" w:cs="Arial"/>
          <w:sz w:val="24"/>
          <w:szCs w:val="24"/>
        </w:rPr>
        <w:t xml:space="preserve"> de</w:t>
      </w:r>
      <w:r w:rsidR="000F035F">
        <w:rPr>
          <w:rFonts w:ascii="Arial" w:hAnsi="Arial" w:cs="Arial"/>
          <w:sz w:val="24"/>
          <w:szCs w:val="24"/>
        </w:rPr>
        <w:t xml:space="preserve"> ellos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</w:t>
      </w:r>
      <w:r w:rsidR="000F035F">
        <w:rPr>
          <w:rFonts w:ascii="Arial" w:hAnsi="Arial" w:cs="Arial"/>
          <w:sz w:val="24"/>
          <w:szCs w:val="24"/>
        </w:rPr>
        <w:t>Belén</w:t>
      </w:r>
      <w:r w:rsidR="00750D38">
        <w:rPr>
          <w:rFonts w:ascii="Arial" w:hAnsi="Arial" w:cs="Arial"/>
          <w:sz w:val="24"/>
          <w:szCs w:val="24"/>
        </w:rPr>
        <w:t xml:space="preserve">, Potosí </w:t>
      </w:r>
      <w:r w:rsidR="00622282">
        <w:rPr>
          <w:rFonts w:ascii="Arial" w:hAnsi="Arial" w:cs="Arial"/>
          <w:sz w:val="24"/>
          <w:szCs w:val="24"/>
        </w:rPr>
        <w:t>y</w:t>
      </w:r>
      <w:r w:rsidR="001C1B8F">
        <w:rPr>
          <w:rFonts w:ascii="Arial" w:hAnsi="Arial" w:cs="Arial"/>
          <w:sz w:val="24"/>
          <w:szCs w:val="24"/>
        </w:rPr>
        <w:t xml:space="preserve"> </w:t>
      </w:r>
      <w:r w:rsidR="000F035F">
        <w:rPr>
          <w:rFonts w:ascii="Arial" w:hAnsi="Arial" w:cs="Arial"/>
          <w:sz w:val="24"/>
          <w:szCs w:val="24"/>
        </w:rPr>
        <w:t>San Juan del Sur</w:t>
      </w:r>
      <w:r w:rsidR="001F65C0">
        <w:rPr>
          <w:rFonts w:ascii="Arial" w:hAnsi="Arial" w:cs="Arial"/>
          <w:sz w:val="24"/>
          <w:szCs w:val="24"/>
        </w:rPr>
        <w:t xml:space="preserve">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</w:t>
      </w:r>
      <w:r w:rsidR="003D0F73">
        <w:rPr>
          <w:rFonts w:ascii="Arial" w:hAnsi="Arial" w:cs="Arial"/>
          <w:sz w:val="24"/>
        </w:rPr>
        <w:t xml:space="preserve">jóvenes y </w:t>
      </w:r>
      <w:r w:rsidRPr="0097075D">
        <w:rPr>
          <w:rFonts w:ascii="Arial" w:hAnsi="Arial" w:cs="Arial"/>
          <w:sz w:val="24"/>
        </w:rPr>
        <w:t xml:space="preserve">adultos a partir de los de </w:t>
      </w:r>
      <w:r w:rsidR="00DB1544">
        <w:rPr>
          <w:rFonts w:ascii="Arial" w:hAnsi="Arial" w:cs="Arial"/>
          <w:sz w:val="24"/>
        </w:rPr>
        <w:t>20</w:t>
      </w:r>
      <w:r w:rsidRPr="0097075D">
        <w:rPr>
          <w:rFonts w:ascii="Arial" w:hAnsi="Arial" w:cs="Arial"/>
          <w:sz w:val="24"/>
        </w:rPr>
        <w:t xml:space="preserve"> años</w:t>
      </w:r>
      <w:r w:rsidR="00993663">
        <w:rPr>
          <w:rFonts w:ascii="Arial" w:hAnsi="Arial" w:cs="Arial"/>
          <w:sz w:val="24"/>
        </w:rPr>
        <w:t xml:space="preserve"> en adelante</w:t>
      </w:r>
      <w:r w:rsidRPr="0097075D">
        <w:rPr>
          <w:rFonts w:ascii="Arial" w:hAnsi="Arial" w:cs="Arial"/>
          <w:sz w:val="24"/>
        </w:rPr>
        <w:t>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Pr="00A12395" w:rsidRDefault="003D0F73" w:rsidP="0012075E">
      <w:pPr>
        <w:jc w:val="both"/>
        <w:rPr>
          <w:rFonts w:ascii="Arial" w:hAnsi="Arial" w:cs="Arial"/>
          <w:sz w:val="24"/>
        </w:rPr>
      </w:pPr>
      <w:r w:rsidRPr="00A12395">
        <w:rPr>
          <w:rFonts w:ascii="Arial" w:hAnsi="Arial" w:cs="Arial"/>
          <w:sz w:val="24"/>
        </w:rPr>
        <w:t xml:space="preserve">Se </w:t>
      </w:r>
      <w:r w:rsidR="00D75861" w:rsidRPr="00A12395">
        <w:rPr>
          <w:rFonts w:ascii="Arial" w:hAnsi="Arial" w:cs="Arial"/>
          <w:sz w:val="24"/>
        </w:rPr>
        <w:t xml:space="preserve">registra </w:t>
      </w:r>
      <w:r w:rsidR="00386B0F" w:rsidRPr="00A12395">
        <w:rPr>
          <w:rFonts w:ascii="Arial" w:hAnsi="Arial" w:cs="Arial"/>
          <w:sz w:val="24"/>
        </w:rPr>
        <w:t>2 fallecidos</w:t>
      </w:r>
      <w:r w:rsidRPr="00A12395">
        <w:rPr>
          <w:rFonts w:ascii="Arial" w:hAnsi="Arial" w:cs="Arial"/>
          <w:sz w:val="24"/>
        </w:rPr>
        <w:t xml:space="preserve"> </w:t>
      </w:r>
      <w:r w:rsidR="00D75861" w:rsidRPr="00A12395">
        <w:rPr>
          <w:rFonts w:ascii="Arial" w:hAnsi="Arial" w:cs="Arial"/>
          <w:sz w:val="24"/>
        </w:rPr>
        <w:t>por COVID -19</w:t>
      </w:r>
      <w:r w:rsidR="00850AC8" w:rsidRPr="00A12395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825EF8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10464" behindDoc="0" locked="0" layoutInCell="1" allowOverlap="1" wp14:anchorId="05B81B87" wp14:editId="0304BD5F">
            <wp:simplePos x="0" y="0"/>
            <wp:positionH relativeFrom="column">
              <wp:posOffset>1047336</wp:posOffset>
            </wp:positionH>
            <wp:positionV relativeFrom="paragraph">
              <wp:posOffset>-881241</wp:posOffset>
            </wp:positionV>
            <wp:extent cx="3912041" cy="2560320"/>
            <wp:effectExtent l="0" t="0" r="12700" b="1143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28761F" w:rsidRDefault="0028761F" w:rsidP="004D518F">
      <w:pPr>
        <w:jc w:val="both"/>
        <w:rPr>
          <w:rFonts w:ascii="Arial" w:hAnsi="Arial" w:cs="Arial"/>
          <w:sz w:val="24"/>
        </w:rPr>
      </w:pPr>
    </w:p>
    <w:p w:rsidR="00F5693E" w:rsidRDefault="009768D7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08416" behindDoc="0" locked="0" layoutInCell="1" allowOverlap="1" wp14:anchorId="45E320BB" wp14:editId="356B6E9D">
            <wp:simplePos x="0" y="0"/>
            <wp:positionH relativeFrom="column">
              <wp:posOffset>944162</wp:posOffset>
            </wp:positionH>
            <wp:positionV relativeFrom="paragraph">
              <wp:posOffset>9746</wp:posOffset>
            </wp:positionV>
            <wp:extent cx="3951799" cy="2528515"/>
            <wp:effectExtent l="0" t="0" r="10795" b="2476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4A78DA" w:rsidRPr="00E1264B" w:rsidRDefault="004D518F" w:rsidP="00E126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  <w:r w:rsidR="00147580" w:rsidRPr="00147580">
        <w:rPr>
          <w:noProof/>
          <w:lang w:eastAsia="es-NI"/>
        </w:rPr>
        <w:t xml:space="preserve"> </w:t>
      </w: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11488" behindDoc="0" locked="0" layoutInCell="1" allowOverlap="1" wp14:anchorId="32EE959D" wp14:editId="05EE6C00">
            <wp:simplePos x="0" y="0"/>
            <wp:positionH relativeFrom="column">
              <wp:posOffset>1174115</wp:posOffset>
            </wp:positionH>
            <wp:positionV relativeFrom="paragraph">
              <wp:posOffset>32385</wp:posOffset>
            </wp:positionV>
            <wp:extent cx="3888105" cy="2560320"/>
            <wp:effectExtent l="0" t="0" r="17145" b="1143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D75861" w:rsidP="00181258">
      <w:pPr>
        <w:tabs>
          <w:tab w:val="left" w:pos="8089"/>
        </w:tabs>
        <w:rPr>
          <w:rFonts w:ascii="Arial" w:hAnsi="Arial" w:cs="Arial"/>
          <w:sz w:val="24"/>
        </w:rPr>
      </w:pPr>
      <w:r w:rsidRPr="00204D5B">
        <w:rPr>
          <w:rFonts w:ascii="Arial" w:hAnsi="Arial" w:cs="Arial"/>
          <w:sz w:val="24"/>
        </w:rPr>
        <w:lastRenderedPageBreak/>
        <w:t xml:space="preserve">La afectación por sexo </w:t>
      </w:r>
      <w:r w:rsidR="00F36E00" w:rsidRPr="00204D5B">
        <w:rPr>
          <w:rFonts w:ascii="Arial" w:hAnsi="Arial" w:cs="Arial"/>
          <w:sz w:val="24"/>
        </w:rPr>
        <w:t xml:space="preserve">es mayor en mujeres con un </w:t>
      </w:r>
      <w:r w:rsidR="004F2DAD" w:rsidRPr="00204D5B">
        <w:rPr>
          <w:rFonts w:ascii="Arial" w:hAnsi="Arial" w:cs="Arial"/>
          <w:sz w:val="24"/>
        </w:rPr>
        <w:t>6</w:t>
      </w:r>
      <w:r w:rsidR="000347A3">
        <w:rPr>
          <w:rFonts w:ascii="Arial" w:hAnsi="Arial" w:cs="Arial"/>
          <w:sz w:val="24"/>
        </w:rPr>
        <w:t>1.3</w:t>
      </w:r>
      <w:r w:rsidR="00F36E00" w:rsidRPr="00204D5B">
        <w:rPr>
          <w:rFonts w:ascii="Arial" w:hAnsi="Arial" w:cs="Arial"/>
          <w:sz w:val="24"/>
        </w:rPr>
        <w:t xml:space="preserve">% y los varones con un </w:t>
      </w:r>
      <w:r w:rsidR="000347A3">
        <w:rPr>
          <w:rFonts w:ascii="Arial" w:hAnsi="Arial" w:cs="Arial"/>
          <w:sz w:val="24"/>
        </w:rPr>
        <w:t>38.6</w:t>
      </w:r>
      <w:r w:rsidR="00F36E00" w:rsidRPr="00204D5B">
        <w:rPr>
          <w:rFonts w:ascii="Arial" w:hAnsi="Arial" w:cs="Arial"/>
          <w:sz w:val="24"/>
        </w:rPr>
        <w:t>%</w:t>
      </w:r>
      <w:r w:rsidRPr="00204D5B">
        <w:rPr>
          <w:rFonts w:ascii="Arial" w:hAnsi="Arial" w:cs="Arial"/>
          <w:sz w:val="24"/>
        </w:rPr>
        <w:t xml:space="preserve">. </w:t>
      </w:r>
    </w:p>
    <w:tbl>
      <w:tblPr>
        <w:tblpPr w:leftFromText="141" w:rightFromText="141" w:vertAnchor="text" w:horzAnchor="margin" w:tblpXSpec="center" w:tblpY="632"/>
        <w:tblW w:w="10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35"/>
        <w:gridCol w:w="373"/>
        <w:gridCol w:w="426"/>
        <w:gridCol w:w="425"/>
        <w:gridCol w:w="335"/>
        <w:gridCol w:w="374"/>
        <w:gridCol w:w="375"/>
        <w:gridCol w:w="435"/>
        <w:gridCol w:w="335"/>
        <w:gridCol w:w="435"/>
        <w:gridCol w:w="296"/>
        <w:gridCol w:w="335"/>
        <w:gridCol w:w="335"/>
        <w:gridCol w:w="335"/>
        <w:gridCol w:w="335"/>
        <w:gridCol w:w="335"/>
        <w:gridCol w:w="335"/>
        <w:gridCol w:w="335"/>
        <w:gridCol w:w="335"/>
        <w:gridCol w:w="435"/>
        <w:gridCol w:w="435"/>
        <w:gridCol w:w="335"/>
        <w:gridCol w:w="335"/>
        <w:gridCol w:w="335"/>
        <w:gridCol w:w="435"/>
        <w:gridCol w:w="435"/>
      </w:tblGrid>
      <w:tr w:rsidR="007B1CE9" w:rsidRPr="004046FF" w:rsidTr="007B1CE9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MUNICIPIO</w:t>
            </w:r>
          </w:p>
        </w:tc>
        <w:tc>
          <w:tcPr>
            <w:tcW w:w="956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SEMANAS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26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Altagracia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Belén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Buenos Aires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Cárdenas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Moyogalpa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Potosí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7.2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Jorge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16.3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Juan del Sur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Tola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Total SILAIS 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4.3</w:t>
            </w:r>
          </w:p>
        </w:tc>
      </w:tr>
    </w:tbl>
    <w:p w:rsidR="007B1CE9" w:rsidRPr="00727818" w:rsidRDefault="007B1CE9" w:rsidP="007B1CE9">
      <w:pPr>
        <w:jc w:val="both"/>
        <w:rPr>
          <w:rFonts w:ascii="Arial" w:hAnsi="Arial" w:cs="Arial"/>
          <w:sz w:val="24"/>
        </w:rPr>
      </w:pPr>
      <w:r w:rsidRPr="00727818">
        <w:rPr>
          <w:rFonts w:ascii="Arial" w:hAnsi="Arial" w:cs="Arial"/>
          <w:b/>
          <w:sz w:val="24"/>
        </w:rPr>
        <w:t>Transmisión Comunitaria</w:t>
      </w:r>
    </w:p>
    <w:p w:rsidR="00B87D3D" w:rsidRDefault="00B87D3D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tbl>
      <w:tblPr>
        <w:tblW w:w="8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787C46" w:rsidRPr="00787C46" w:rsidTr="00787C46">
        <w:trPr>
          <w:trHeight w:val="300"/>
        </w:trPr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MUNICIPIO</w:t>
            </w:r>
          </w:p>
        </w:tc>
        <w:tc>
          <w:tcPr>
            <w:tcW w:w="680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SEMANAS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43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Altagracia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10.8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Belén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10.8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Buenos Aires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51.5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34.3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Cárdenas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19.7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26.3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Moyogalpa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19.0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Potosí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3.7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Rivas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19.9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21.0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8.2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Jorge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38.5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22.1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33.2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Juan del Sur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15.7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21.9</w:t>
            </w:r>
          </w:p>
        </w:tc>
      </w:tr>
      <w:tr w:rsidR="00787C46" w:rsidRPr="00787C46" w:rsidTr="00787C4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Tola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12.6</w:t>
            </w:r>
          </w:p>
        </w:tc>
      </w:tr>
      <w:tr w:rsidR="00787C46" w:rsidRPr="00787C46" w:rsidTr="00787C46">
        <w:trPr>
          <w:trHeight w:val="31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Total SILAIS RIVAS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7.9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6.8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6.0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11.5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15.3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17.0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87C46" w:rsidRPr="00787C46" w:rsidRDefault="00787C46" w:rsidP="00787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787C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13.7</w:t>
            </w:r>
          </w:p>
        </w:tc>
      </w:tr>
    </w:tbl>
    <w:p w:rsidR="00B87D3D" w:rsidRDefault="00B87D3D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p w:rsidR="00B87D3D" w:rsidRDefault="00B87D3D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p w:rsidR="00787C46" w:rsidRDefault="00787C46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  <w:r w:rsidRPr="00F57498">
        <w:rPr>
          <w:noProof/>
          <w:lang w:eastAsia="es-NI"/>
        </w:rPr>
        <w:drawing>
          <wp:inline distT="0" distB="0" distL="0" distR="0" wp14:anchorId="56EC33DA" wp14:editId="3E8E1D45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80" w:rsidRPr="00787C46" w:rsidRDefault="00095762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787C46">
        <w:rPr>
          <w:rFonts w:ascii="Arial" w:hAnsi="Arial" w:cs="Arial"/>
          <w:sz w:val="24"/>
        </w:rPr>
        <w:t>Octubre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="00CE698D">
        <w:rPr>
          <w:rFonts w:ascii="Arial" w:hAnsi="Arial" w:cs="Arial"/>
          <w:sz w:val="24"/>
        </w:rPr>
        <w:t xml:space="preserve"> </w:t>
      </w:r>
      <w:r w:rsidR="004B210D">
        <w:rPr>
          <w:rFonts w:ascii="Arial" w:hAnsi="Arial" w:cs="Arial"/>
          <w:sz w:val="24"/>
        </w:rPr>
        <w:t xml:space="preserve">entre </w:t>
      </w:r>
      <w:r w:rsidR="00CE698D">
        <w:rPr>
          <w:rFonts w:ascii="Arial" w:hAnsi="Arial" w:cs="Arial"/>
          <w:sz w:val="24"/>
        </w:rPr>
        <w:t>la SE# 3</w:t>
      </w:r>
      <w:r w:rsidR="004B210D">
        <w:rPr>
          <w:rFonts w:ascii="Arial" w:hAnsi="Arial" w:cs="Arial"/>
          <w:sz w:val="24"/>
        </w:rPr>
        <w:t xml:space="preserve">6 y 43 se mantuvo en el </w:t>
      </w:r>
      <w:r w:rsidR="00CE698D">
        <w:rPr>
          <w:rFonts w:ascii="Arial" w:hAnsi="Arial" w:cs="Arial"/>
          <w:sz w:val="24"/>
        </w:rPr>
        <w:t xml:space="preserve">nivel </w:t>
      </w:r>
      <w:r w:rsidR="004B210D">
        <w:rPr>
          <w:rFonts w:ascii="Arial" w:hAnsi="Arial" w:cs="Arial"/>
          <w:sz w:val="24"/>
        </w:rPr>
        <w:t xml:space="preserve"> 1</w:t>
      </w:r>
      <w:r w:rsidR="003467BC">
        <w:rPr>
          <w:rFonts w:ascii="Arial" w:hAnsi="Arial" w:cs="Arial"/>
          <w:sz w:val="24"/>
        </w:rPr>
        <w:t xml:space="preserve"> el 60% de los municipios</w:t>
      </w:r>
      <w:r w:rsidR="004B210D">
        <w:rPr>
          <w:rFonts w:ascii="Arial" w:hAnsi="Arial" w:cs="Arial"/>
          <w:sz w:val="24"/>
        </w:rPr>
        <w:t xml:space="preserve"> y </w:t>
      </w:r>
      <w:r w:rsidR="003467BC">
        <w:rPr>
          <w:rFonts w:ascii="Arial" w:hAnsi="Arial" w:cs="Arial"/>
          <w:sz w:val="24"/>
        </w:rPr>
        <w:t xml:space="preserve">nivel </w:t>
      </w:r>
      <w:r w:rsidR="00CE698D">
        <w:rPr>
          <w:rFonts w:ascii="Arial" w:hAnsi="Arial" w:cs="Arial"/>
          <w:sz w:val="24"/>
        </w:rPr>
        <w:t xml:space="preserve">2 </w:t>
      </w:r>
      <w:r w:rsidR="003467BC">
        <w:rPr>
          <w:rFonts w:ascii="Arial" w:hAnsi="Arial" w:cs="Arial"/>
          <w:sz w:val="24"/>
        </w:rPr>
        <w:t>el 40%</w:t>
      </w:r>
      <w:r w:rsidR="00D46D34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 w:rsidR="003467BC">
        <w:rPr>
          <w:rFonts w:ascii="Arial" w:hAnsi="Arial" w:cs="Arial"/>
          <w:sz w:val="24"/>
        </w:rPr>
        <w:t>reflejando de es</w:t>
      </w:r>
      <w:r w:rsidR="00530E3E">
        <w:rPr>
          <w:rFonts w:ascii="Arial" w:hAnsi="Arial" w:cs="Arial"/>
          <w:sz w:val="24"/>
        </w:rPr>
        <w:t xml:space="preserve"> de esta manera el ascenso </w:t>
      </w:r>
      <w:r>
        <w:rPr>
          <w:rFonts w:ascii="Arial" w:hAnsi="Arial" w:cs="Arial"/>
          <w:sz w:val="24"/>
        </w:rPr>
        <w:t xml:space="preserve">de </w:t>
      </w:r>
      <w:r w:rsidR="00530E3E">
        <w:rPr>
          <w:rFonts w:ascii="Arial" w:hAnsi="Arial" w:cs="Arial"/>
          <w:sz w:val="24"/>
        </w:rPr>
        <w:t>la</w:t>
      </w:r>
      <w:r w:rsidRPr="0070067F">
        <w:rPr>
          <w:rFonts w:ascii="Arial" w:hAnsi="Arial" w:cs="Arial"/>
          <w:sz w:val="24"/>
        </w:rPr>
        <w:t xml:space="preserve"> segunda ola viral </w:t>
      </w:r>
      <w:r>
        <w:rPr>
          <w:rFonts w:ascii="Arial" w:hAnsi="Arial" w:cs="Arial"/>
          <w:sz w:val="24"/>
        </w:rPr>
        <w:t>estos niveles de transmisión.</w:t>
      </w:r>
    </w:p>
    <w:p w:rsidR="00095762" w:rsidRDefault="00D27436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9A866" wp14:editId="1DDE0D13">
                <wp:simplePos x="0" y="0"/>
                <wp:positionH relativeFrom="column">
                  <wp:posOffset>3487420</wp:posOffset>
                </wp:positionH>
                <wp:positionV relativeFrom="paragraph">
                  <wp:posOffset>225232</wp:posOffset>
                </wp:positionV>
                <wp:extent cx="2592070" cy="90868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90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7818" w:rsidRPr="001378B8" w:rsidRDefault="00727818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Fallecidos por COVID 19 Tasas Acumuladas por 10,000 hab</w:t>
                            </w:r>
                            <w:r w:rsidR="00E306C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.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hasta</w:t>
                            </w:r>
                            <w:proofErr w:type="gram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SE # </w:t>
                            </w:r>
                            <w:r w:rsidR="000826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43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74.6pt;margin-top:17.75pt;width:204.1pt;height:7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" filled="f" stroked="f">
                <v:path arrowok="t"/>
                <v:textbox>
                  <w:txbxContent>
                    <w:p w:rsidR="00727818" w:rsidRPr="001378B8" w:rsidRDefault="00727818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Fallecidos por COVID 19 Tasas Acumuladas por 10,000 hab</w:t>
                      </w:r>
                      <w:r w:rsidR="00E306C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.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</w:t>
                      </w:r>
                      <w:proofErr w:type="gram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hasta</w:t>
                      </w:r>
                      <w:proofErr w:type="gram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SE # </w:t>
                      </w:r>
                      <w:r w:rsidR="000826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43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D27436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0CA7D" wp14:editId="43D4ECFC">
                <wp:simplePos x="0" y="0"/>
                <wp:positionH relativeFrom="column">
                  <wp:posOffset>13500</wp:posOffset>
                </wp:positionH>
                <wp:positionV relativeFrom="paragraph">
                  <wp:posOffset>26394</wp:posOffset>
                </wp:positionV>
                <wp:extent cx="2592070" cy="707390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7818" w:rsidRPr="001378B8" w:rsidRDefault="00727818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CASOS COVID 19 Tasas Acumuladas por 10,000 hab</w:t>
                            </w:r>
                            <w:r w:rsidR="00E306C2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.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hasta</w:t>
                            </w:r>
                            <w:proofErr w:type="gram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SE # </w:t>
                            </w:r>
                            <w:r w:rsidR="0024064A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43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727818" w:rsidRPr="001378B8" w:rsidRDefault="00727818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.05pt;margin-top:2.1pt;width:204.1pt;height:55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" filled="f" stroked="f">
                <v:path arrowok="t"/>
                <o:lock v:ext="edit" grouping="t"/>
                <v:textbox>
                  <w:txbxContent>
                    <w:p w:rsidR="00727818" w:rsidRPr="001378B8" w:rsidRDefault="00727818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CASOS COVID 19 Tasas Acumuladas por 10,000 hab</w:t>
                      </w:r>
                      <w:r w:rsidR="00E306C2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.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</w:t>
                      </w:r>
                      <w:proofErr w:type="gram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hasta</w:t>
                      </w:r>
                      <w:proofErr w:type="gram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SE # </w:t>
                      </w:r>
                      <w:r w:rsidR="0024064A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43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727818" w:rsidRPr="001378B8" w:rsidRDefault="00727818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436" w:rsidRDefault="00D27436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346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52"/>
        <w:gridCol w:w="1148"/>
      </w:tblGrid>
      <w:tr w:rsidR="0024064A" w:rsidRPr="0024064A" w:rsidTr="0024064A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24064A" w:rsidRPr="0024064A" w:rsidTr="0024064A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14.4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30.8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10.3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29.1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5.8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18.6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11.8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15.7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6.7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15.4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8.8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15.0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3.0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14.0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13.4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16.1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13.2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4.2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12.2</w:t>
            </w:r>
          </w:p>
        </w:tc>
      </w:tr>
      <w:tr w:rsidR="0024064A" w:rsidRPr="0024064A" w:rsidTr="0024064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3.5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4.7</w:t>
            </w:r>
          </w:p>
        </w:tc>
      </w:tr>
    </w:tbl>
    <w:tbl>
      <w:tblPr>
        <w:tblpPr w:leftFromText="141" w:rightFromText="141" w:vertAnchor="text" w:horzAnchor="margin" w:tblpXSpec="right" w:tblpY="395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24064A" w:rsidRPr="0024064A" w:rsidTr="0024064A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24064A" w:rsidRPr="0024064A" w:rsidTr="0024064A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0.1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4064A" w:rsidRPr="0024064A" w:rsidTr="0024064A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24064A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064A" w:rsidRPr="0024064A" w:rsidRDefault="0024064A" w:rsidP="00240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24064A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</w:tbl>
    <w:p w:rsidR="00D27436" w:rsidRDefault="00D27436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24064A" w:rsidRDefault="0024064A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0826F7">
        <w:rPr>
          <w:rFonts w:ascii="Arial" w:hAnsi="Arial" w:cs="Arial"/>
          <w:sz w:val="24"/>
        </w:rPr>
        <w:t>Octubre</w:t>
      </w:r>
      <w:r w:rsidRPr="009044DC">
        <w:rPr>
          <w:rFonts w:ascii="Arial" w:hAnsi="Arial" w:cs="Arial"/>
          <w:sz w:val="24"/>
        </w:rPr>
        <w:t xml:space="preserve"> fue de </w:t>
      </w:r>
      <w:r w:rsidR="00FC402D">
        <w:rPr>
          <w:rFonts w:ascii="Arial" w:hAnsi="Arial" w:cs="Arial"/>
          <w:sz w:val="24"/>
        </w:rPr>
        <w:t>1</w:t>
      </w:r>
      <w:r w:rsidR="000826F7">
        <w:rPr>
          <w:rFonts w:ascii="Arial" w:hAnsi="Arial" w:cs="Arial"/>
          <w:sz w:val="24"/>
        </w:rPr>
        <w:t>5</w:t>
      </w:r>
      <w:r w:rsidRPr="009044DC">
        <w:rPr>
          <w:rFonts w:ascii="Arial" w:hAnsi="Arial" w:cs="Arial"/>
          <w:sz w:val="24"/>
        </w:rPr>
        <w:t>.</w:t>
      </w:r>
      <w:r w:rsidR="000826F7">
        <w:rPr>
          <w:rFonts w:ascii="Arial" w:hAnsi="Arial" w:cs="Arial"/>
          <w:sz w:val="24"/>
        </w:rPr>
        <w:t>4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FC402D">
        <w:rPr>
          <w:rFonts w:ascii="Arial" w:hAnsi="Arial" w:cs="Arial"/>
          <w:sz w:val="24"/>
        </w:rPr>
        <w:t xml:space="preserve">Buenos Aires, </w:t>
      </w:r>
      <w:r w:rsidR="00592EE6">
        <w:rPr>
          <w:rFonts w:ascii="Arial" w:hAnsi="Arial" w:cs="Arial"/>
          <w:sz w:val="24"/>
        </w:rPr>
        <w:t>Rivas</w:t>
      </w:r>
      <w:r w:rsidR="001200FC">
        <w:rPr>
          <w:rFonts w:ascii="Arial" w:hAnsi="Arial" w:cs="Arial"/>
          <w:sz w:val="24"/>
        </w:rPr>
        <w:t xml:space="preserve"> </w:t>
      </w:r>
      <w:r w:rsidR="0073265E">
        <w:rPr>
          <w:rFonts w:ascii="Arial" w:hAnsi="Arial" w:cs="Arial"/>
          <w:sz w:val="24"/>
        </w:rPr>
        <w:t>y</w:t>
      </w:r>
      <w:r w:rsidR="00A42F05">
        <w:rPr>
          <w:rFonts w:ascii="Arial" w:hAnsi="Arial" w:cs="Arial"/>
          <w:sz w:val="24"/>
        </w:rPr>
        <w:t xml:space="preserve"> </w:t>
      </w:r>
      <w:r w:rsidR="000826F7">
        <w:rPr>
          <w:rFonts w:ascii="Arial" w:hAnsi="Arial" w:cs="Arial"/>
          <w:sz w:val="24"/>
        </w:rPr>
        <w:t>Cárdenas</w:t>
      </w:r>
      <w:r w:rsidR="00FC402D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FC402D">
        <w:rPr>
          <w:rFonts w:ascii="Arial" w:hAnsi="Arial" w:cs="Arial"/>
          <w:sz w:val="24"/>
        </w:rPr>
        <w:t>4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75861" w:rsidRPr="00D75861" w:rsidRDefault="00DA5A32" w:rsidP="00252CAA">
      <w:pPr>
        <w:jc w:val="both"/>
        <w:rPr>
          <w:rFonts w:ascii="Arial" w:hAnsi="Arial" w:cs="Arial"/>
          <w:sz w:val="24"/>
          <w:szCs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D25FC0">
        <w:rPr>
          <w:rFonts w:ascii="Arial" w:hAnsi="Arial" w:cs="Arial"/>
          <w:sz w:val="24"/>
        </w:rPr>
        <w:t>Octubre</w:t>
      </w:r>
      <w:r w:rsidR="00432DEE">
        <w:rPr>
          <w:rFonts w:ascii="Arial" w:hAnsi="Arial" w:cs="Arial"/>
          <w:sz w:val="24"/>
        </w:rPr>
        <w:t xml:space="preserve">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</w:t>
      </w:r>
      <w:r w:rsidR="00A404A1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A70C7E">
        <w:rPr>
          <w:rFonts w:ascii="Arial" w:hAnsi="Arial" w:cs="Arial"/>
          <w:sz w:val="24"/>
        </w:rPr>
        <w:t xml:space="preserve">Son los </w:t>
      </w:r>
      <w:r w:rsidR="0094312C">
        <w:rPr>
          <w:rFonts w:ascii="Arial" w:hAnsi="Arial" w:cs="Arial"/>
          <w:sz w:val="24"/>
        </w:rPr>
        <w:t>municipio</w:t>
      </w:r>
      <w:r w:rsidR="00A70C7E">
        <w:rPr>
          <w:rFonts w:ascii="Arial" w:hAnsi="Arial" w:cs="Arial"/>
          <w:sz w:val="24"/>
        </w:rPr>
        <w:t>s</w:t>
      </w:r>
      <w:r w:rsidR="0094312C">
        <w:rPr>
          <w:rFonts w:ascii="Arial" w:hAnsi="Arial" w:cs="Arial"/>
          <w:sz w:val="24"/>
        </w:rPr>
        <w:t xml:space="preserve"> de San Juan del Sur</w:t>
      </w:r>
      <w:r w:rsidR="00A70C7E">
        <w:rPr>
          <w:rFonts w:ascii="Arial" w:hAnsi="Arial" w:cs="Arial"/>
          <w:sz w:val="24"/>
        </w:rPr>
        <w:t xml:space="preserve"> y Cárdenas</w:t>
      </w:r>
      <w:r w:rsidR="0094312C">
        <w:rPr>
          <w:rFonts w:ascii="Arial" w:hAnsi="Arial" w:cs="Arial"/>
          <w:sz w:val="24"/>
        </w:rPr>
        <w:t xml:space="preserve"> </w:t>
      </w:r>
      <w:r w:rsidR="00A70C7E">
        <w:rPr>
          <w:rFonts w:ascii="Arial" w:hAnsi="Arial" w:cs="Arial"/>
          <w:sz w:val="24"/>
        </w:rPr>
        <w:t xml:space="preserve">los que </w:t>
      </w:r>
      <w:r w:rsidR="0094312C">
        <w:rPr>
          <w:rFonts w:ascii="Arial" w:hAnsi="Arial" w:cs="Arial"/>
          <w:sz w:val="24"/>
        </w:rPr>
        <w:t>registra</w:t>
      </w:r>
      <w:r w:rsidR="00A70C7E">
        <w:rPr>
          <w:rFonts w:ascii="Arial" w:hAnsi="Arial" w:cs="Arial"/>
          <w:sz w:val="24"/>
        </w:rPr>
        <w:t>n</w:t>
      </w:r>
      <w:r w:rsidR="0094312C">
        <w:rPr>
          <w:rFonts w:ascii="Arial" w:hAnsi="Arial" w:cs="Arial"/>
          <w:sz w:val="24"/>
        </w:rPr>
        <w:t xml:space="preserve"> fallecido.  El resto de </w:t>
      </w:r>
      <w:bookmarkStart w:id="0" w:name="_GoBack"/>
      <w:bookmarkEnd w:id="0"/>
      <w:r w:rsidR="0094312C">
        <w:rPr>
          <w:rFonts w:ascii="Arial" w:hAnsi="Arial" w:cs="Arial"/>
          <w:sz w:val="24"/>
        </w:rPr>
        <w:t>los</w:t>
      </w:r>
      <w:r w:rsidRPr="009044DC">
        <w:rPr>
          <w:rFonts w:ascii="Arial" w:hAnsi="Arial" w:cs="Arial"/>
          <w:sz w:val="24"/>
        </w:rPr>
        <w:t xml:space="preserve"> </w:t>
      </w:r>
      <w:r w:rsidR="006A45FD">
        <w:rPr>
          <w:rFonts w:ascii="Arial" w:hAnsi="Arial" w:cs="Arial"/>
          <w:sz w:val="24"/>
        </w:rPr>
        <w:t>municipios</w:t>
      </w:r>
      <w:r w:rsidR="0094312C">
        <w:rPr>
          <w:rFonts w:ascii="Arial" w:hAnsi="Arial" w:cs="Arial"/>
          <w:sz w:val="24"/>
        </w:rPr>
        <w:t xml:space="preserve"> no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D0" w:rsidRDefault="00415ED0" w:rsidP="0082341D">
      <w:pPr>
        <w:spacing w:after="0" w:line="240" w:lineRule="auto"/>
      </w:pPr>
      <w:r>
        <w:separator/>
      </w:r>
    </w:p>
  </w:endnote>
  <w:endnote w:type="continuationSeparator" w:id="0">
    <w:p w:rsidR="00415ED0" w:rsidRDefault="00415ED0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D0" w:rsidRDefault="00415ED0" w:rsidP="0082341D">
      <w:pPr>
        <w:spacing w:after="0" w:line="240" w:lineRule="auto"/>
      </w:pPr>
      <w:r>
        <w:separator/>
      </w:r>
    </w:p>
  </w:footnote>
  <w:footnote w:type="continuationSeparator" w:id="0">
    <w:p w:rsidR="00415ED0" w:rsidRDefault="00415ED0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12703"/>
    <w:rsid w:val="000347A3"/>
    <w:rsid w:val="00050B7F"/>
    <w:rsid w:val="00063AF7"/>
    <w:rsid w:val="00072883"/>
    <w:rsid w:val="000826F7"/>
    <w:rsid w:val="00095762"/>
    <w:rsid w:val="000A2267"/>
    <w:rsid w:val="000B1FED"/>
    <w:rsid w:val="000B482D"/>
    <w:rsid w:val="000C1CBB"/>
    <w:rsid w:val="000C75C1"/>
    <w:rsid w:val="000E4511"/>
    <w:rsid w:val="000E6165"/>
    <w:rsid w:val="000F035F"/>
    <w:rsid w:val="00105DE6"/>
    <w:rsid w:val="001200FC"/>
    <w:rsid w:val="0012075E"/>
    <w:rsid w:val="001279C3"/>
    <w:rsid w:val="00133E38"/>
    <w:rsid w:val="00134579"/>
    <w:rsid w:val="001378B8"/>
    <w:rsid w:val="00141D84"/>
    <w:rsid w:val="0014349F"/>
    <w:rsid w:val="00147580"/>
    <w:rsid w:val="00181258"/>
    <w:rsid w:val="00195028"/>
    <w:rsid w:val="001A4933"/>
    <w:rsid w:val="001B03EE"/>
    <w:rsid w:val="001C1B8F"/>
    <w:rsid w:val="001C61EB"/>
    <w:rsid w:val="001D70A8"/>
    <w:rsid w:val="001E2918"/>
    <w:rsid w:val="001E38AD"/>
    <w:rsid w:val="001F1927"/>
    <w:rsid w:val="001F25E5"/>
    <w:rsid w:val="001F65C0"/>
    <w:rsid w:val="00204D5B"/>
    <w:rsid w:val="002127A9"/>
    <w:rsid w:val="00215339"/>
    <w:rsid w:val="00215C6E"/>
    <w:rsid w:val="0021634A"/>
    <w:rsid w:val="0023330B"/>
    <w:rsid w:val="0023416A"/>
    <w:rsid w:val="0024064A"/>
    <w:rsid w:val="00240BE6"/>
    <w:rsid w:val="00252CAA"/>
    <w:rsid w:val="00260894"/>
    <w:rsid w:val="00261B24"/>
    <w:rsid w:val="00261D35"/>
    <w:rsid w:val="00262038"/>
    <w:rsid w:val="002635E1"/>
    <w:rsid w:val="002769EE"/>
    <w:rsid w:val="0028517F"/>
    <w:rsid w:val="0028761F"/>
    <w:rsid w:val="00291793"/>
    <w:rsid w:val="002938A9"/>
    <w:rsid w:val="002A27D0"/>
    <w:rsid w:val="002D1C1A"/>
    <w:rsid w:val="002F4C51"/>
    <w:rsid w:val="00300DEA"/>
    <w:rsid w:val="003014C7"/>
    <w:rsid w:val="0030489A"/>
    <w:rsid w:val="00316D17"/>
    <w:rsid w:val="0032155B"/>
    <w:rsid w:val="003274CE"/>
    <w:rsid w:val="003378C0"/>
    <w:rsid w:val="00341CD1"/>
    <w:rsid w:val="003467BC"/>
    <w:rsid w:val="00361401"/>
    <w:rsid w:val="00373E1B"/>
    <w:rsid w:val="00386B0F"/>
    <w:rsid w:val="003A29BA"/>
    <w:rsid w:val="003A7F64"/>
    <w:rsid w:val="003D0F73"/>
    <w:rsid w:val="003E4181"/>
    <w:rsid w:val="003E4CC2"/>
    <w:rsid w:val="003F2A6F"/>
    <w:rsid w:val="00402552"/>
    <w:rsid w:val="004046FF"/>
    <w:rsid w:val="00415ED0"/>
    <w:rsid w:val="004172FA"/>
    <w:rsid w:val="00432DEE"/>
    <w:rsid w:val="0043718D"/>
    <w:rsid w:val="00442225"/>
    <w:rsid w:val="00453B65"/>
    <w:rsid w:val="00474EC0"/>
    <w:rsid w:val="00484AC5"/>
    <w:rsid w:val="00484C1D"/>
    <w:rsid w:val="004A78DA"/>
    <w:rsid w:val="004B0555"/>
    <w:rsid w:val="004B210D"/>
    <w:rsid w:val="004C0DD3"/>
    <w:rsid w:val="004C39D8"/>
    <w:rsid w:val="004D22F1"/>
    <w:rsid w:val="004D518F"/>
    <w:rsid w:val="004F091C"/>
    <w:rsid w:val="004F2DAD"/>
    <w:rsid w:val="005007B5"/>
    <w:rsid w:val="00505F1F"/>
    <w:rsid w:val="0050613C"/>
    <w:rsid w:val="00513DCD"/>
    <w:rsid w:val="00513F85"/>
    <w:rsid w:val="0051626D"/>
    <w:rsid w:val="00517A63"/>
    <w:rsid w:val="00517F8B"/>
    <w:rsid w:val="00530E3E"/>
    <w:rsid w:val="00532F91"/>
    <w:rsid w:val="00535420"/>
    <w:rsid w:val="00535B96"/>
    <w:rsid w:val="0054354B"/>
    <w:rsid w:val="005529CA"/>
    <w:rsid w:val="00554675"/>
    <w:rsid w:val="00560753"/>
    <w:rsid w:val="0056150E"/>
    <w:rsid w:val="0056544E"/>
    <w:rsid w:val="00586979"/>
    <w:rsid w:val="0058762E"/>
    <w:rsid w:val="00592EE6"/>
    <w:rsid w:val="005A752C"/>
    <w:rsid w:val="005B2640"/>
    <w:rsid w:val="005B62B8"/>
    <w:rsid w:val="005C1B80"/>
    <w:rsid w:val="005E7C24"/>
    <w:rsid w:val="00616B3D"/>
    <w:rsid w:val="00622282"/>
    <w:rsid w:val="00622FD0"/>
    <w:rsid w:val="006425CD"/>
    <w:rsid w:val="00645F0A"/>
    <w:rsid w:val="00655972"/>
    <w:rsid w:val="006633EB"/>
    <w:rsid w:val="00672BB8"/>
    <w:rsid w:val="00684C1D"/>
    <w:rsid w:val="006943BE"/>
    <w:rsid w:val="006A45FD"/>
    <w:rsid w:val="006B7DE3"/>
    <w:rsid w:val="006D12EB"/>
    <w:rsid w:val="006D2830"/>
    <w:rsid w:val="006D7B6A"/>
    <w:rsid w:val="006E1840"/>
    <w:rsid w:val="006E6AE5"/>
    <w:rsid w:val="006F1650"/>
    <w:rsid w:val="006F4713"/>
    <w:rsid w:val="0070005C"/>
    <w:rsid w:val="00704DEF"/>
    <w:rsid w:val="00713BF2"/>
    <w:rsid w:val="00727818"/>
    <w:rsid w:val="0073265E"/>
    <w:rsid w:val="00750D38"/>
    <w:rsid w:val="00751A27"/>
    <w:rsid w:val="007529C0"/>
    <w:rsid w:val="007602B8"/>
    <w:rsid w:val="00765BE4"/>
    <w:rsid w:val="00771A42"/>
    <w:rsid w:val="00774786"/>
    <w:rsid w:val="00787C46"/>
    <w:rsid w:val="007A2DF3"/>
    <w:rsid w:val="007B1CE9"/>
    <w:rsid w:val="007B3A22"/>
    <w:rsid w:val="007B7F47"/>
    <w:rsid w:val="007C4386"/>
    <w:rsid w:val="007F1A4E"/>
    <w:rsid w:val="007F7490"/>
    <w:rsid w:val="00802A94"/>
    <w:rsid w:val="00813143"/>
    <w:rsid w:val="0082004E"/>
    <w:rsid w:val="0082341D"/>
    <w:rsid w:val="00825EF8"/>
    <w:rsid w:val="008261E4"/>
    <w:rsid w:val="00832C48"/>
    <w:rsid w:val="00835C18"/>
    <w:rsid w:val="00845EAA"/>
    <w:rsid w:val="00850AC8"/>
    <w:rsid w:val="00874E23"/>
    <w:rsid w:val="00897943"/>
    <w:rsid w:val="00897D31"/>
    <w:rsid w:val="008C4536"/>
    <w:rsid w:val="008D5105"/>
    <w:rsid w:val="008F3EAB"/>
    <w:rsid w:val="008F6816"/>
    <w:rsid w:val="00941445"/>
    <w:rsid w:val="00941461"/>
    <w:rsid w:val="0094312C"/>
    <w:rsid w:val="00947BB8"/>
    <w:rsid w:val="0096363C"/>
    <w:rsid w:val="00970C6A"/>
    <w:rsid w:val="0097191D"/>
    <w:rsid w:val="00971B80"/>
    <w:rsid w:val="0097296B"/>
    <w:rsid w:val="00975123"/>
    <w:rsid w:val="009768D7"/>
    <w:rsid w:val="00990E02"/>
    <w:rsid w:val="00992ACD"/>
    <w:rsid w:val="00993663"/>
    <w:rsid w:val="009A1AB3"/>
    <w:rsid w:val="009A552A"/>
    <w:rsid w:val="009B48B0"/>
    <w:rsid w:val="009D5C53"/>
    <w:rsid w:val="009E124B"/>
    <w:rsid w:val="009E206D"/>
    <w:rsid w:val="009F1EDF"/>
    <w:rsid w:val="009F2C80"/>
    <w:rsid w:val="00A076CC"/>
    <w:rsid w:val="00A10A4D"/>
    <w:rsid w:val="00A12395"/>
    <w:rsid w:val="00A3294D"/>
    <w:rsid w:val="00A404A1"/>
    <w:rsid w:val="00A42F05"/>
    <w:rsid w:val="00A70C7E"/>
    <w:rsid w:val="00A74586"/>
    <w:rsid w:val="00A7708B"/>
    <w:rsid w:val="00A86551"/>
    <w:rsid w:val="00AA0B9C"/>
    <w:rsid w:val="00AA1EBF"/>
    <w:rsid w:val="00AB5028"/>
    <w:rsid w:val="00AC722C"/>
    <w:rsid w:val="00AD0C01"/>
    <w:rsid w:val="00AD1ADD"/>
    <w:rsid w:val="00AD5773"/>
    <w:rsid w:val="00AE15F0"/>
    <w:rsid w:val="00AE1AB1"/>
    <w:rsid w:val="00AF3252"/>
    <w:rsid w:val="00AF74CE"/>
    <w:rsid w:val="00B24BDA"/>
    <w:rsid w:val="00B34970"/>
    <w:rsid w:val="00B45A02"/>
    <w:rsid w:val="00B47323"/>
    <w:rsid w:val="00B70C5A"/>
    <w:rsid w:val="00B74B03"/>
    <w:rsid w:val="00B8169E"/>
    <w:rsid w:val="00B87D3D"/>
    <w:rsid w:val="00B87D47"/>
    <w:rsid w:val="00BA13F1"/>
    <w:rsid w:val="00BA4310"/>
    <w:rsid w:val="00BA439A"/>
    <w:rsid w:val="00BA6D1B"/>
    <w:rsid w:val="00BB16C2"/>
    <w:rsid w:val="00BB282A"/>
    <w:rsid w:val="00BB6F40"/>
    <w:rsid w:val="00BC57DA"/>
    <w:rsid w:val="00BD45DD"/>
    <w:rsid w:val="00BE7281"/>
    <w:rsid w:val="00BF0B50"/>
    <w:rsid w:val="00C00A1A"/>
    <w:rsid w:val="00C21653"/>
    <w:rsid w:val="00C27C3E"/>
    <w:rsid w:val="00C41C02"/>
    <w:rsid w:val="00C47B83"/>
    <w:rsid w:val="00C5103E"/>
    <w:rsid w:val="00C63521"/>
    <w:rsid w:val="00C723D0"/>
    <w:rsid w:val="00C72CF8"/>
    <w:rsid w:val="00C742E3"/>
    <w:rsid w:val="00C77A95"/>
    <w:rsid w:val="00C8185C"/>
    <w:rsid w:val="00C8745F"/>
    <w:rsid w:val="00CC1D2B"/>
    <w:rsid w:val="00CD3EA1"/>
    <w:rsid w:val="00CE3EB7"/>
    <w:rsid w:val="00CE698D"/>
    <w:rsid w:val="00D04667"/>
    <w:rsid w:val="00D06143"/>
    <w:rsid w:val="00D21D0E"/>
    <w:rsid w:val="00D25FC0"/>
    <w:rsid w:val="00D26007"/>
    <w:rsid w:val="00D27436"/>
    <w:rsid w:val="00D31801"/>
    <w:rsid w:val="00D46D34"/>
    <w:rsid w:val="00D671CF"/>
    <w:rsid w:val="00D72D37"/>
    <w:rsid w:val="00D75861"/>
    <w:rsid w:val="00D94C54"/>
    <w:rsid w:val="00DA5A32"/>
    <w:rsid w:val="00DB1544"/>
    <w:rsid w:val="00DC63B6"/>
    <w:rsid w:val="00DD251A"/>
    <w:rsid w:val="00DE10A9"/>
    <w:rsid w:val="00DE64B1"/>
    <w:rsid w:val="00E06D6E"/>
    <w:rsid w:val="00E10AD8"/>
    <w:rsid w:val="00E1264B"/>
    <w:rsid w:val="00E135D9"/>
    <w:rsid w:val="00E306C2"/>
    <w:rsid w:val="00E327F1"/>
    <w:rsid w:val="00E40B82"/>
    <w:rsid w:val="00E4763F"/>
    <w:rsid w:val="00E47E98"/>
    <w:rsid w:val="00E53059"/>
    <w:rsid w:val="00E62B31"/>
    <w:rsid w:val="00E645B7"/>
    <w:rsid w:val="00E64643"/>
    <w:rsid w:val="00E738ED"/>
    <w:rsid w:val="00E826DF"/>
    <w:rsid w:val="00E87FE9"/>
    <w:rsid w:val="00E964C3"/>
    <w:rsid w:val="00EA2FAC"/>
    <w:rsid w:val="00EA3002"/>
    <w:rsid w:val="00EA373B"/>
    <w:rsid w:val="00EC5232"/>
    <w:rsid w:val="00EE113B"/>
    <w:rsid w:val="00EE748F"/>
    <w:rsid w:val="00EE7495"/>
    <w:rsid w:val="00EF0C09"/>
    <w:rsid w:val="00F0048D"/>
    <w:rsid w:val="00F06D26"/>
    <w:rsid w:val="00F07C16"/>
    <w:rsid w:val="00F104C9"/>
    <w:rsid w:val="00F36E00"/>
    <w:rsid w:val="00F467E4"/>
    <w:rsid w:val="00F55E81"/>
    <w:rsid w:val="00F5693E"/>
    <w:rsid w:val="00F606DC"/>
    <w:rsid w:val="00F65EC2"/>
    <w:rsid w:val="00F66C22"/>
    <w:rsid w:val="00F701E9"/>
    <w:rsid w:val="00F7077F"/>
    <w:rsid w:val="00F77926"/>
    <w:rsid w:val="00F81F28"/>
    <w:rsid w:val="00FC0BC8"/>
    <w:rsid w:val="00FC402D"/>
    <w:rsid w:val="00FD2905"/>
    <w:rsid w:val="00FE2E2A"/>
    <w:rsid w:val="00FE7B87"/>
    <w:rsid w:val="00FF419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COVID%20x%20seman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INFORME%20DE%20SITUACION%20COVID\Casos%20y%20Tasas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4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5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'1'!$B$15:$AR$15</c:f>
              <c:numCache>
                <c:formatCode>General</c:formatCode>
                <c:ptCount val="43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  <c:pt idx="26">
                  <c:v>10</c:v>
                </c:pt>
                <c:pt idx="27">
                  <c:v>12</c:v>
                </c:pt>
                <c:pt idx="28">
                  <c:v>9</c:v>
                </c:pt>
                <c:pt idx="29">
                  <c:v>11</c:v>
                </c:pt>
                <c:pt idx="30">
                  <c:v>12</c:v>
                </c:pt>
                <c:pt idx="31">
                  <c:v>6</c:v>
                </c:pt>
                <c:pt idx="32">
                  <c:v>7</c:v>
                </c:pt>
                <c:pt idx="33">
                  <c:v>9</c:v>
                </c:pt>
                <c:pt idx="34">
                  <c:v>12</c:v>
                </c:pt>
                <c:pt idx="35">
                  <c:v>21</c:v>
                </c:pt>
                <c:pt idx="36">
                  <c:v>23</c:v>
                </c:pt>
                <c:pt idx="37">
                  <c:v>20</c:v>
                </c:pt>
                <c:pt idx="38">
                  <c:v>19</c:v>
                </c:pt>
                <c:pt idx="39">
                  <c:v>19</c:v>
                </c:pt>
                <c:pt idx="40">
                  <c:v>12</c:v>
                </c:pt>
                <c:pt idx="41">
                  <c:v>28</c:v>
                </c:pt>
                <c:pt idx="4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291235712"/>
        <c:axId val="291237248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'1'!$B$16:$AR$16</c:f>
              <c:numCache>
                <c:formatCode>General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235712"/>
        <c:axId val="291237248"/>
      </c:lineChart>
      <c:catAx>
        <c:axId val="29123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91237248"/>
        <c:crosses val="autoZero"/>
        <c:auto val="1"/>
        <c:lblAlgn val="ctr"/>
        <c:lblOffset val="100"/>
        <c:noMultiLvlLbl val="0"/>
      </c:catAx>
      <c:valAx>
        <c:axId val="29123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235712"/>
        <c:crosses val="autoZero"/>
        <c:crossBetween val="between"/>
        <c:majorUnit val="4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Jorge</c:v>
                </c:pt>
                <c:pt idx="2">
                  <c:v>Tola</c:v>
                </c:pt>
                <c:pt idx="3">
                  <c:v>Belén</c:v>
                </c:pt>
                <c:pt idx="4">
                  <c:v>San Juan del Sur</c:v>
                </c:pt>
                <c:pt idx="5">
                  <c:v>Potosí</c:v>
                </c:pt>
                <c:pt idx="6">
                  <c:v>Buenos Aires</c:v>
                </c:pt>
                <c:pt idx="7">
                  <c:v>Moyogalpa</c:v>
                </c:pt>
                <c:pt idx="8">
                  <c:v>Altagracia</c:v>
                </c:pt>
                <c:pt idx="9">
                  <c:v>Cárdenas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0.37</c:v>
                </c:pt>
                <c:pt idx="1">
                  <c:v>0.1</c:v>
                </c:pt>
                <c:pt idx="2">
                  <c:v>0.1</c:v>
                </c:pt>
                <c:pt idx="3">
                  <c:v>0.09</c:v>
                </c:pt>
                <c:pt idx="4">
                  <c:v>0.09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0.05</c:v>
                </c:pt>
                <c:pt idx="8">
                  <c:v>0.04</c:v>
                </c:pt>
                <c:pt idx="9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004736"/>
        <c:axId val="310010624"/>
      </c:barChart>
      <c:catAx>
        <c:axId val="31000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310010624"/>
        <c:crosses val="autoZero"/>
        <c:auto val="1"/>
        <c:lblAlgn val="ctr"/>
        <c:lblOffset val="100"/>
        <c:noMultiLvlLbl val="0"/>
      </c:catAx>
      <c:valAx>
        <c:axId val="310010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00047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43º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-25</c:v>
                </c:pt>
                <c:pt idx="7">
                  <c:v>-33</c:v>
                </c:pt>
                <c:pt idx="8">
                  <c:v>-22</c:v>
                </c:pt>
                <c:pt idx="9">
                  <c:v>-7</c:v>
                </c:pt>
                <c:pt idx="10">
                  <c:v>-22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47</c:v>
                </c:pt>
                <c:pt idx="7">
                  <c:v>45</c:v>
                </c:pt>
                <c:pt idx="8">
                  <c:v>38</c:v>
                </c:pt>
                <c:pt idx="9">
                  <c:v>14</c:v>
                </c:pt>
                <c:pt idx="10">
                  <c:v>25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10036352"/>
        <c:axId val="310037888"/>
      </c:barChart>
      <c:catAx>
        <c:axId val="310036352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10037888"/>
        <c:crosses val="autoZero"/>
        <c:auto val="1"/>
        <c:lblAlgn val="ctr"/>
        <c:lblOffset val="100"/>
        <c:noMultiLvlLbl val="0"/>
      </c:catAx>
      <c:valAx>
        <c:axId val="31003788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1003635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7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43º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09937664"/>
        <c:axId val="309939200"/>
      </c:barChart>
      <c:catAx>
        <c:axId val="30993766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9939200"/>
        <c:crosses val="autoZero"/>
        <c:auto val="1"/>
        <c:lblAlgn val="ctr"/>
        <c:lblOffset val="100"/>
        <c:noMultiLvlLbl val="0"/>
      </c:catAx>
      <c:valAx>
        <c:axId val="30993920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99376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43º semana epidemiológica
 Rivas - Año 2021</a:t>
            </a:r>
          </a:p>
        </c:rich>
      </c:tx>
      <c:layout>
        <c:manualLayout>
          <c:xMode val="edge"/>
          <c:yMode val="edge"/>
          <c:x val="0.2446839784419402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[Hoja5]P1!$C$3:$D$3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[Hoja5]P1!$C$4:$D$4</c:f>
              <c:numCache>
                <c:formatCode>General</c:formatCode>
                <c:ptCount val="2"/>
                <c:pt idx="0" formatCode="0;0">
                  <c:v>-109</c:v>
                </c:pt>
                <c:pt idx="1">
                  <c:v>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3,958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232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D0998B2F-7E6A-44AC-8740-48213543EE27}" type="presOf" srcId="{4572347B-FDCC-4D40-955D-0300739469CF}" destId="{6A75484F-6B0A-4CD4-8777-EE2BDC321053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7DADE3C-FAEB-4383-B9DB-A4DCD194967D}" type="presOf" srcId="{04043959-B629-4DE8-8315-DF88C31AFAB0}" destId="{0410D381-D05A-4A9A-AF14-15B59EDC2CE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20A42EB7-2C57-4E19-A5D0-119C54841ABB}" type="presOf" srcId="{F843BA36-FBB8-4D33-843E-7F7F78FAD741}" destId="{89D70A02-B222-4417-8773-EAA434DE1AAD}" srcOrd="0" destOrd="1" presId="urn:microsoft.com/office/officeart/2008/layout/VerticalCurvedList"/>
    <dgm:cxn modelId="{5171CE19-92FC-4D27-A198-A92BB4931829}" type="presOf" srcId="{62096081-9C9D-4636-9D9E-39DE572EE29F}" destId="{6A75484F-6B0A-4CD4-8777-EE2BDC321053}" srcOrd="0" destOrd="1" presId="urn:microsoft.com/office/officeart/2008/layout/VerticalCurvedList"/>
    <dgm:cxn modelId="{DECD755C-DF27-4DF3-82D7-CF6F22A879E2}" type="presOf" srcId="{0B79DB07-FEC0-4692-A103-F60B29259690}" destId="{C2F9E7C4-FE48-4ECB-9CBF-4E44E2EAEDA8}" srcOrd="0" destOrd="0" presId="urn:microsoft.com/office/officeart/2008/layout/VerticalCurvedList"/>
    <dgm:cxn modelId="{9588660D-C953-419F-84F6-149B2F864782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B6A705B6-100E-4C25-B089-2AA0582BEEBF}" type="presOf" srcId="{858CFB1C-108B-460C-B456-0D0BFA519988}" destId="{F9CBDA24-6466-4970-BEFD-0C117089F9F4}" srcOrd="0" destOrd="0" presId="urn:microsoft.com/office/officeart/2008/layout/VerticalCurvedList"/>
    <dgm:cxn modelId="{8A8B5D7B-23B5-4503-B8E8-90CE4443428A}" type="presOf" srcId="{677DFF59-DEF3-4FD4-91DD-9882B3D35904}" destId="{89D70A02-B222-4417-8773-EAA434DE1AAD}" srcOrd="0" destOrd="0" presId="urn:microsoft.com/office/officeart/2008/layout/VerticalCurvedList"/>
    <dgm:cxn modelId="{9D6BC60C-F569-4E5E-B3E2-D59A5091F5E2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AE8E8560-C8FF-4D20-9390-0A8386D8E8FB}" type="presOf" srcId="{73BEB52C-626B-4074-85A0-1C96960ADE8F}" destId="{730F9EC8-06F4-4A71-AB00-79739AEB967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D5EC843-AFC7-4415-9AE2-535D6FDFA4D5}" type="presParOf" srcId="{730F9EC8-06F4-4A71-AB00-79739AEB9676}" destId="{B1C57B43-7763-419A-B9C1-F1802D5EF39B}" srcOrd="0" destOrd="0" presId="urn:microsoft.com/office/officeart/2008/layout/VerticalCurvedList"/>
    <dgm:cxn modelId="{A2C1E805-11A3-4142-9F59-DF4F54F2A6EE}" type="presParOf" srcId="{B1C57B43-7763-419A-B9C1-F1802D5EF39B}" destId="{15586FDF-0390-4468-B1B5-223BD080702F}" srcOrd="0" destOrd="0" presId="urn:microsoft.com/office/officeart/2008/layout/VerticalCurvedList"/>
    <dgm:cxn modelId="{5160502F-B26C-4CA8-8A91-A9CFB5BC4497}" type="presParOf" srcId="{15586FDF-0390-4468-B1B5-223BD080702F}" destId="{50652805-2BE7-40A3-A165-79560558A992}" srcOrd="0" destOrd="0" presId="urn:microsoft.com/office/officeart/2008/layout/VerticalCurvedList"/>
    <dgm:cxn modelId="{90A0E0CB-CBA0-43BF-B641-40004246194B}" type="presParOf" srcId="{15586FDF-0390-4468-B1B5-223BD080702F}" destId="{C2F9E7C4-FE48-4ECB-9CBF-4E44E2EAEDA8}" srcOrd="1" destOrd="0" presId="urn:microsoft.com/office/officeart/2008/layout/VerticalCurvedList"/>
    <dgm:cxn modelId="{A74106FF-A0DA-4E7A-B9E8-26FEDF4FBA17}" type="presParOf" srcId="{15586FDF-0390-4468-B1B5-223BD080702F}" destId="{C82C4815-06FD-47A4-939A-1FB267516F78}" srcOrd="2" destOrd="0" presId="urn:microsoft.com/office/officeart/2008/layout/VerticalCurvedList"/>
    <dgm:cxn modelId="{440677D7-5689-469D-AE73-B49995992422}" type="presParOf" srcId="{15586FDF-0390-4468-B1B5-223BD080702F}" destId="{0A560CEC-DC95-4ED2-B1EE-FFD7C0E8C1DF}" srcOrd="3" destOrd="0" presId="urn:microsoft.com/office/officeart/2008/layout/VerticalCurvedList"/>
    <dgm:cxn modelId="{F6097B83-5FFD-451E-8D3E-8FD9230E6929}" type="presParOf" srcId="{B1C57B43-7763-419A-B9C1-F1802D5EF39B}" destId="{0410D381-D05A-4A9A-AF14-15B59EDC2CE6}" srcOrd="1" destOrd="0" presId="urn:microsoft.com/office/officeart/2008/layout/VerticalCurvedList"/>
    <dgm:cxn modelId="{00D249C5-8296-4F6F-8682-9A8C6BC4D570}" type="presParOf" srcId="{B1C57B43-7763-419A-B9C1-F1802D5EF39B}" destId="{49F37629-B8FA-4356-8347-B8FED195B745}" srcOrd="2" destOrd="0" presId="urn:microsoft.com/office/officeart/2008/layout/VerticalCurvedList"/>
    <dgm:cxn modelId="{319B4900-7D58-46D4-B68C-24A0AFA434A3}" type="presParOf" srcId="{49F37629-B8FA-4356-8347-B8FED195B745}" destId="{96B94C9A-08A4-4210-B5A1-5DF3C7AD73E2}" srcOrd="0" destOrd="0" presId="urn:microsoft.com/office/officeart/2008/layout/VerticalCurvedList"/>
    <dgm:cxn modelId="{66147279-2410-48B3-80FD-FD8AD8DA2115}" type="presParOf" srcId="{B1C57B43-7763-419A-B9C1-F1802D5EF39B}" destId="{F9CBDA24-6466-4970-BEFD-0C117089F9F4}" srcOrd="3" destOrd="0" presId="urn:microsoft.com/office/officeart/2008/layout/VerticalCurvedList"/>
    <dgm:cxn modelId="{BBA555F7-E6B1-4685-BECC-5C853948B0EF}" type="presParOf" srcId="{B1C57B43-7763-419A-B9C1-F1802D5EF39B}" destId="{69A9EDD6-5BF7-40AA-825D-8B8E4152B0E8}" srcOrd="4" destOrd="0" presId="urn:microsoft.com/office/officeart/2008/layout/VerticalCurvedList"/>
    <dgm:cxn modelId="{2CF2D74A-3D52-4F4D-8F63-13010FA4BAA0}" type="presParOf" srcId="{69A9EDD6-5BF7-40AA-825D-8B8E4152B0E8}" destId="{CD780C04-D85D-449B-8D03-46DE662BA124}" srcOrd="0" destOrd="0" presId="urn:microsoft.com/office/officeart/2008/layout/VerticalCurvedList"/>
    <dgm:cxn modelId="{6EC533FC-3D25-42FB-A993-9F1F1F6D414B}" type="presParOf" srcId="{B1C57B43-7763-419A-B9C1-F1802D5EF39B}" destId="{89D70A02-B222-4417-8773-EAA434DE1AAD}" srcOrd="5" destOrd="0" presId="urn:microsoft.com/office/officeart/2008/layout/VerticalCurvedList"/>
    <dgm:cxn modelId="{C5D5AD81-127F-406B-8E24-A551A4E9B438}" type="presParOf" srcId="{B1C57B43-7763-419A-B9C1-F1802D5EF39B}" destId="{19E17D92-41DF-4844-8BA8-2ACDEA294616}" srcOrd="6" destOrd="0" presId="urn:microsoft.com/office/officeart/2008/layout/VerticalCurvedList"/>
    <dgm:cxn modelId="{19FF2065-794B-4AA9-8211-A354851F105D}" type="presParOf" srcId="{19E17D92-41DF-4844-8BA8-2ACDEA294616}" destId="{EBA4D1AD-9C90-4F05-80BA-0EC31E42A995}" srcOrd="0" destOrd="0" presId="urn:microsoft.com/office/officeart/2008/layout/VerticalCurvedList"/>
    <dgm:cxn modelId="{2377F0AA-066B-41AE-81A0-6EC5E365D486}" type="presParOf" srcId="{B1C57B43-7763-419A-B9C1-F1802D5EF39B}" destId="{6A75484F-6B0A-4CD4-8777-EE2BDC321053}" srcOrd="7" destOrd="0" presId="urn:microsoft.com/office/officeart/2008/layout/VerticalCurvedList"/>
    <dgm:cxn modelId="{33A429F6-7F11-4AEE-9CC5-74862702118F}" type="presParOf" srcId="{B1C57B43-7763-419A-B9C1-F1802D5EF39B}" destId="{BAA89B27-0DE4-475E-821C-2A3C402EB16C}" srcOrd="8" destOrd="0" presId="urn:microsoft.com/office/officeart/2008/layout/VerticalCurvedList"/>
    <dgm:cxn modelId="{BC80DC44-EB1B-4B68-90DB-87C89CBF3EF9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3,958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232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7</cp:revision>
  <dcterms:created xsi:type="dcterms:W3CDTF">2022-08-12T16:34:00Z</dcterms:created>
  <dcterms:modified xsi:type="dcterms:W3CDTF">2022-08-12T20:15:00Z</dcterms:modified>
</cp:coreProperties>
</file>