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E11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Mayo</w:t>
                            </w:r>
                            <w:r w:rsidR="006E184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EE11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Mayo</w:t>
                      </w:r>
                      <w:r w:rsidR="006E184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EE113B">
        <w:rPr>
          <w:rFonts w:ascii="Arial" w:hAnsi="Arial" w:cs="Arial"/>
          <w:b/>
          <w:bCs/>
          <w:sz w:val="44"/>
          <w:lang w:val="es-ES"/>
        </w:rPr>
        <w:t>Mayo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F55E81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91008" behindDoc="0" locked="0" layoutInCell="1" allowOverlap="1" wp14:anchorId="547E390F" wp14:editId="095FDFFA">
            <wp:simplePos x="0" y="0"/>
            <wp:positionH relativeFrom="column">
              <wp:posOffset>848360</wp:posOffset>
            </wp:positionH>
            <wp:positionV relativeFrom="paragraph">
              <wp:posOffset>676910</wp:posOffset>
            </wp:positionV>
            <wp:extent cx="4412615" cy="2647315"/>
            <wp:effectExtent l="0" t="0" r="26035" b="1968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5E7C24">
        <w:rPr>
          <w:rFonts w:ascii="Arial" w:hAnsi="Arial" w:cs="Arial"/>
          <w:sz w:val="36"/>
        </w:rPr>
        <w:t>Casos</w:t>
      </w:r>
      <w:r w:rsidR="00D21D0E">
        <w:rPr>
          <w:rFonts w:ascii="Arial" w:hAnsi="Arial" w:cs="Arial"/>
          <w:sz w:val="36"/>
        </w:rPr>
        <w:t xml:space="preserve"> COVID-19 por semanas epidemiológicas, SILAIS Rivas, </w:t>
      </w:r>
      <w:r w:rsidR="006D12EB">
        <w:rPr>
          <w:rFonts w:ascii="Arial" w:hAnsi="Arial" w:cs="Arial"/>
          <w:sz w:val="36"/>
        </w:rPr>
        <w:t>Mayo</w:t>
      </w:r>
      <w:r w:rsidR="00D21D0E">
        <w:rPr>
          <w:rFonts w:ascii="Arial" w:hAnsi="Arial" w:cs="Arial"/>
          <w:sz w:val="36"/>
        </w:rPr>
        <w:t xml:space="preserve"> 2021</w:t>
      </w:r>
    </w:p>
    <w:p w:rsidR="003E4181" w:rsidRDefault="003E4181" w:rsidP="00063AF7">
      <w:pPr>
        <w:jc w:val="right"/>
        <w:rPr>
          <w:rFonts w:ascii="Arial" w:hAnsi="Arial" w:cs="Arial"/>
          <w:sz w:val="44"/>
        </w:rPr>
      </w:pP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Default="00F77926" w:rsidP="00F77926">
      <w:pPr>
        <w:rPr>
          <w:rFonts w:ascii="Arial" w:hAnsi="Arial" w:cs="Arial"/>
          <w:sz w:val="44"/>
        </w:rPr>
      </w:pP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F55E81">
        <w:rPr>
          <w:rFonts w:ascii="Arial" w:hAnsi="Arial" w:cs="Arial"/>
          <w:sz w:val="24"/>
        </w:rPr>
        <w:t>Mayo</w:t>
      </w:r>
      <w:r w:rsidR="00F77926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</w:t>
      </w:r>
      <w:r w:rsidR="00F55E81">
        <w:rPr>
          <w:rFonts w:ascii="Arial" w:hAnsi="Arial" w:cs="Arial"/>
          <w:sz w:val="24"/>
        </w:rPr>
        <w:t xml:space="preserve">la incidencia </w:t>
      </w:r>
      <w:r w:rsidR="009D5C53">
        <w:rPr>
          <w:rFonts w:ascii="Arial" w:hAnsi="Arial" w:cs="Arial"/>
          <w:sz w:val="24"/>
        </w:rPr>
        <w:t xml:space="preserve">se mantuvo entre 1 y 2 casos en cada </w:t>
      </w:r>
      <w:r w:rsidRPr="003B50D3">
        <w:rPr>
          <w:rFonts w:ascii="Arial" w:hAnsi="Arial" w:cs="Arial"/>
          <w:sz w:val="24"/>
        </w:rPr>
        <w:t xml:space="preserve">semana del año </w:t>
      </w:r>
      <w:r w:rsidR="009D5C53">
        <w:rPr>
          <w:rFonts w:ascii="Arial" w:hAnsi="Arial" w:cs="Arial"/>
          <w:sz w:val="24"/>
        </w:rPr>
        <w:t xml:space="preserve">y </w:t>
      </w:r>
      <w:r w:rsidRPr="003B50D3">
        <w:rPr>
          <w:rFonts w:ascii="Arial" w:hAnsi="Arial" w:cs="Arial"/>
          <w:sz w:val="24"/>
        </w:rPr>
        <w:t xml:space="preserve">fueron de control epidemiológico,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>El comportamiento en</w:t>
      </w:r>
      <w:r w:rsidR="0082004E">
        <w:rPr>
          <w:rFonts w:ascii="Arial" w:hAnsi="Arial" w:cs="Arial"/>
          <w:sz w:val="24"/>
          <w:lang w:val="es-MX"/>
        </w:rPr>
        <w:t>tre la SE # 1 y la 21</w:t>
      </w:r>
      <w:r w:rsidR="00BA6D1B">
        <w:rPr>
          <w:rFonts w:ascii="Arial" w:hAnsi="Arial" w:cs="Arial"/>
          <w:sz w:val="24"/>
          <w:lang w:val="es-MX"/>
        </w:rPr>
        <w:t xml:space="preserve">se mantuvo entre 1 y 2 casos, </w:t>
      </w:r>
      <w:r w:rsidRPr="003B50D3">
        <w:rPr>
          <w:rFonts w:ascii="Arial" w:hAnsi="Arial" w:cs="Arial"/>
          <w:sz w:val="24"/>
          <w:lang w:val="es-MX"/>
        </w:rPr>
        <w:t xml:space="preserve">fue </w:t>
      </w:r>
      <w:r w:rsidR="00AC722C">
        <w:rPr>
          <w:rFonts w:ascii="Arial" w:hAnsi="Arial" w:cs="Arial"/>
          <w:sz w:val="24"/>
          <w:lang w:val="es-MX"/>
        </w:rPr>
        <w:t xml:space="preserve">con disminución </w:t>
      </w:r>
      <w:r w:rsidRPr="003B50D3">
        <w:rPr>
          <w:rFonts w:ascii="Arial" w:hAnsi="Arial" w:cs="Arial"/>
          <w:sz w:val="24"/>
          <w:lang w:val="es-MX"/>
        </w:rPr>
        <w:t>de casos</w:t>
      </w:r>
      <w:r w:rsidR="00FD2905">
        <w:rPr>
          <w:rFonts w:ascii="Arial" w:hAnsi="Arial" w:cs="Arial"/>
          <w:sz w:val="24"/>
          <w:lang w:val="es-MX"/>
        </w:rPr>
        <w:t>, sin embargo en la SE# 1</w:t>
      </w:r>
      <w:r w:rsidR="00EA3002">
        <w:rPr>
          <w:rFonts w:ascii="Arial" w:hAnsi="Arial" w:cs="Arial"/>
          <w:sz w:val="24"/>
          <w:lang w:val="es-MX"/>
        </w:rPr>
        <w:t>7</w:t>
      </w:r>
      <w:r w:rsidR="00BA6D1B">
        <w:rPr>
          <w:rFonts w:ascii="Arial" w:hAnsi="Arial" w:cs="Arial"/>
          <w:sz w:val="24"/>
          <w:lang w:val="es-MX"/>
        </w:rPr>
        <w:t xml:space="preserve"> y 18</w:t>
      </w:r>
      <w:r w:rsidRPr="003B50D3">
        <w:rPr>
          <w:rFonts w:ascii="Arial" w:hAnsi="Arial" w:cs="Arial"/>
          <w:sz w:val="24"/>
          <w:lang w:val="es-MX"/>
        </w:rPr>
        <w:t xml:space="preserve"> </w:t>
      </w:r>
      <w:r w:rsidR="00EE748F">
        <w:rPr>
          <w:rFonts w:ascii="Arial" w:hAnsi="Arial" w:cs="Arial"/>
          <w:sz w:val="24"/>
          <w:lang w:val="es-MX"/>
        </w:rPr>
        <w:t xml:space="preserve">se registró </w:t>
      </w:r>
      <w:r w:rsidRPr="003B50D3">
        <w:rPr>
          <w:rFonts w:ascii="Arial" w:hAnsi="Arial" w:cs="Arial"/>
          <w:sz w:val="24"/>
          <w:lang w:val="es-MX"/>
        </w:rPr>
        <w:t xml:space="preserve">la misma incidencia de casos al compararlo con la </w:t>
      </w:r>
      <w:r w:rsidR="006425CD">
        <w:rPr>
          <w:rFonts w:ascii="Arial" w:hAnsi="Arial" w:cs="Arial"/>
          <w:sz w:val="24"/>
          <w:lang w:val="es-MX"/>
        </w:rPr>
        <w:t xml:space="preserve">semana 1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6425CD">
        <w:rPr>
          <w:rFonts w:ascii="Arial" w:hAnsi="Arial" w:cs="Arial"/>
          <w:sz w:val="24"/>
          <w:lang w:val="es-MX"/>
        </w:rPr>
        <w:t>1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E748F">
        <w:rPr>
          <w:rFonts w:ascii="Arial" w:hAnsi="Arial" w:cs="Arial"/>
          <w:sz w:val="24"/>
          <w:lang w:val="es-MX"/>
        </w:rPr>
        <w:t>2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4172FA">
        <w:rPr>
          <w:rFonts w:ascii="Arial" w:hAnsi="Arial" w:cs="Arial"/>
          <w:sz w:val="24"/>
          <w:lang w:val="es-MX"/>
        </w:rPr>
        <w:t>5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4172FA">
        <w:rPr>
          <w:rFonts w:ascii="Arial" w:hAnsi="Arial" w:cs="Arial"/>
          <w:sz w:val="24"/>
          <w:lang w:val="es-MX"/>
        </w:rPr>
        <w:t>91</w:t>
      </w:r>
      <w:r w:rsidRPr="003B50D3">
        <w:rPr>
          <w:rFonts w:ascii="Arial" w:hAnsi="Arial" w:cs="Arial"/>
          <w:sz w:val="24"/>
          <w:lang w:val="es-MX"/>
        </w:rPr>
        <w:t xml:space="preserve">% y una letalidad del </w:t>
      </w:r>
      <w:r w:rsidR="006425CD">
        <w:rPr>
          <w:rFonts w:ascii="Arial" w:hAnsi="Arial" w:cs="Arial"/>
          <w:sz w:val="24"/>
          <w:lang w:val="es-MX"/>
        </w:rPr>
        <w:t>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Default="00D21D0E" w:rsidP="00D21D0E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>
        <w:rPr>
          <w:rFonts w:ascii="Arial" w:hAnsi="Arial" w:cs="Arial"/>
          <w:sz w:val="36"/>
        </w:rPr>
        <w:t xml:space="preserve"> </w:t>
      </w:r>
      <w:r w:rsidR="00CD3EA1">
        <w:rPr>
          <w:rFonts w:ascii="Arial" w:hAnsi="Arial" w:cs="Arial"/>
          <w:sz w:val="36"/>
        </w:rPr>
        <w:t xml:space="preserve">SILAIS Rivas </w:t>
      </w:r>
      <w:r w:rsidR="00947BB8">
        <w:rPr>
          <w:rFonts w:ascii="Arial" w:hAnsi="Arial" w:cs="Arial"/>
          <w:sz w:val="36"/>
        </w:rPr>
        <w:t>Mayo</w:t>
      </w:r>
      <w:r>
        <w:rPr>
          <w:rFonts w:ascii="Arial" w:hAnsi="Arial" w:cs="Arial"/>
          <w:sz w:val="36"/>
        </w:rPr>
        <w:t xml:space="preserve"> 2021</w:t>
      </w:r>
    </w:p>
    <w:p w:rsidR="008C4536" w:rsidRDefault="0054354B" w:rsidP="00D21D0E">
      <w:pPr>
        <w:jc w:val="center"/>
        <w:rPr>
          <w:noProof/>
          <w:lang w:eastAsia="es-NI"/>
        </w:rPr>
      </w:pPr>
      <w:r>
        <w:rPr>
          <w:noProof/>
          <w:lang w:eastAsia="es-NI"/>
        </w:rPr>
        <w:drawing>
          <wp:anchor distT="0" distB="0" distL="114300" distR="114300" simplePos="0" relativeHeight="251692032" behindDoc="0" locked="0" layoutInCell="1" allowOverlap="1" wp14:anchorId="6662C8EE" wp14:editId="76C34C97">
            <wp:simplePos x="0" y="0"/>
            <wp:positionH relativeFrom="column">
              <wp:posOffset>721360</wp:posOffset>
            </wp:positionH>
            <wp:positionV relativeFrom="paragraph">
              <wp:posOffset>16510</wp:posOffset>
            </wp:positionV>
            <wp:extent cx="4476115" cy="2258060"/>
            <wp:effectExtent l="0" t="0" r="19685" b="2794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BB8" w:rsidRDefault="00947BB8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rFonts w:ascii="Arial" w:hAnsi="Arial" w:cs="Arial"/>
          <w:sz w:val="36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E47E98">
        <w:rPr>
          <w:rFonts w:ascii="Arial" w:hAnsi="Arial" w:cs="Arial"/>
          <w:sz w:val="24"/>
          <w:szCs w:val="24"/>
        </w:rPr>
        <w:t xml:space="preserve"> y Tola</w:t>
      </w:r>
      <w:r w:rsidR="00050B7F">
        <w:rPr>
          <w:rFonts w:ascii="Arial" w:hAnsi="Arial" w:cs="Arial"/>
          <w:sz w:val="24"/>
          <w:szCs w:val="24"/>
        </w:rPr>
        <w:t xml:space="preserve"> siendo </w:t>
      </w:r>
      <w:r w:rsidR="00E47E98">
        <w:rPr>
          <w:rFonts w:ascii="Arial" w:hAnsi="Arial" w:cs="Arial"/>
          <w:sz w:val="24"/>
          <w:szCs w:val="24"/>
        </w:rPr>
        <w:t>2</w:t>
      </w:r>
      <w:r w:rsidR="00C5103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</w:t>
      </w:r>
      <w:r w:rsidR="00802A94">
        <w:rPr>
          <w:rFonts w:ascii="Arial" w:hAnsi="Arial" w:cs="Arial"/>
          <w:sz w:val="24"/>
        </w:rPr>
        <w:t>5</w:t>
      </w:r>
      <w:r w:rsidRPr="0097075D">
        <w:rPr>
          <w:rFonts w:ascii="Arial" w:hAnsi="Arial" w:cs="Arial"/>
          <w:sz w:val="24"/>
        </w:rPr>
        <w:t xml:space="preserve">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1B03EE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93056" behindDoc="0" locked="0" layoutInCell="1" allowOverlap="1" wp14:anchorId="0FFFCB1E" wp14:editId="631FF9FD">
            <wp:simplePos x="0" y="0"/>
            <wp:positionH relativeFrom="column">
              <wp:posOffset>570561</wp:posOffset>
            </wp:positionH>
            <wp:positionV relativeFrom="paragraph">
              <wp:posOffset>-801839</wp:posOffset>
            </wp:positionV>
            <wp:extent cx="4723075" cy="2957885"/>
            <wp:effectExtent l="0" t="0" r="20955" b="1397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CE3EB7" w:rsidRDefault="00CE3EB7" w:rsidP="004D518F">
      <w:pPr>
        <w:jc w:val="both"/>
        <w:rPr>
          <w:rFonts w:ascii="Arial" w:hAnsi="Arial" w:cs="Arial"/>
          <w:sz w:val="24"/>
          <w:szCs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645F0A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94080" behindDoc="0" locked="0" layoutInCell="1" allowOverlap="1" wp14:anchorId="1AF01514" wp14:editId="07655E03">
            <wp:simplePos x="0" y="0"/>
            <wp:positionH relativeFrom="column">
              <wp:posOffset>657860</wp:posOffset>
            </wp:positionH>
            <wp:positionV relativeFrom="paragraph">
              <wp:posOffset>22860</wp:posOffset>
            </wp:positionV>
            <wp:extent cx="4635500" cy="3283585"/>
            <wp:effectExtent l="0" t="0" r="12700" b="12065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E10A9" w:rsidRPr="00D75861" w:rsidRDefault="00DE10A9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1A4933" w:rsidRDefault="001A4933" w:rsidP="001A4933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F36E00" w:rsidRPr="006D7B6A" w:rsidRDefault="00D75861" w:rsidP="006D7B6A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</w:t>
      </w:r>
      <w:r w:rsidR="00F36E00">
        <w:rPr>
          <w:rFonts w:ascii="Arial" w:hAnsi="Arial" w:cs="Arial"/>
          <w:sz w:val="24"/>
        </w:rPr>
        <w:t xml:space="preserve">es mayor en mujeres con un </w:t>
      </w:r>
      <w:r w:rsidR="00E738ED">
        <w:rPr>
          <w:rFonts w:ascii="Arial" w:hAnsi="Arial" w:cs="Arial"/>
          <w:sz w:val="24"/>
        </w:rPr>
        <w:t>5</w:t>
      </w:r>
      <w:r w:rsidR="009A1AB3">
        <w:rPr>
          <w:rFonts w:ascii="Arial" w:hAnsi="Arial" w:cs="Arial"/>
          <w:sz w:val="24"/>
        </w:rPr>
        <w:t>4</w:t>
      </w:r>
      <w:r w:rsidR="00E738ED">
        <w:rPr>
          <w:rFonts w:ascii="Arial" w:hAnsi="Arial" w:cs="Arial"/>
          <w:sz w:val="24"/>
        </w:rPr>
        <w:t>.</w:t>
      </w:r>
      <w:r w:rsidR="009A1AB3">
        <w:rPr>
          <w:rFonts w:ascii="Arial" w:hAnsi="Arial" w:cs="Arial"/>
          <w:sz w:val="24"/>
        </w:rPr>
        <w:t>5</w:t>
      </w:r>
      <w:r w:rsidR="00F36E00">
        <w:rPr>
          <w:rFonts w:ascii="Arial" w:hAnsi="Arial" w:cs="Arial"/>
          <w:sz w:val="24"/>
        </w:rPr>
        <w:t xml:space="preserve">% y los varones con un </w:t>
      </w:r>
      <w:r w:rsidR="00E738ED">
        <w:rPr>
          <w:rFonts w:ascii="Arial" w:hAnsi="Arial" w:cs="Arial"/>
          <w:sz w:val="24"/>
        </w:rPr>
        <w:t>4</w:t>
      </w:r>
      <w:r w:rsidR="009A1AB3">
        <w:rPr>
          <w:rFonts w:ascii="Arial" w:hAnsi="Arial" w:cs="Arial"/>
          <w:sz w:val="24"/>
        </w:rPr>
        <w:t>5</w:t>
      </w:r>
      <w:r w:rsidR="00E738ED">
        <w:rPr>
          <w:rFonts w:ascii="Arial" w:hAnsi="Arial" w:cs="Arial"/>
          <w:sz w:val="24"/>
        </w:rPr>
        <w:t>.</w:t>
      </w:r>
      <w:r w:rsidR="009A1AB3">
        <w:rPr>
          <w:rFonts w:ascii="Arial" w:hAnsi="Arial" w:cs="Arial"/>
          <w:sz w:val="24"/>
        </w:rPr>
        <w:t>4</w:t>
      </w:r>
      <w:r w:rsidR="00F36E00">
        <w:rPr>
          <w:rFonts w:ascii="Arial" w:hAnsi="Arial" w:cs="Arial"/>
          <w:sz w:val="24"/>
        </w:rPr>
        <w:t>%</w:t>
      </w:r>
      <w:r w:rsidRPr="0001317B">
        <w:rPr>
          <w:rFonts w:ascii="Arial" w:hAnsi="Arial" w:cs="Arial"/>
          <w:sz w:val="24"/>
        </w:rPr>
        <w:t xml:space="preserve">. </w:t>
      </w:r>
    </w:p>
    <w:p w:rsidR="00771A42" w:rsidRDefault="00771A42" w:rsidP="00513DCD">
      <w:pPr>
        <w:jc w:val="both"/>
        <w:rPr>
          <w:rFonts w:ascii="Arial" w:hAnsi="Arial" w:cs="Arial"/>
          <w:b/>
          <w:sz w:val="28"/>
        </w:rPr>
      </w:pPr>
    </w:p>
    <w:p w:rsidR="009A1AB3" w:rsidRDefault="009A1AB3" w:rsidP="0028517F">
      <w:pPr>
        <w:jc w:val="both"/>
        <w:rPr>
          <w:rFonts w:ascii="Arial" w:hAnsi="Arial" w:cs="Arial"/>
          <w:b/>
          <w:sz w:val="28"/>
        </w:rPr>
      </w:pPr>
    </w:p>
    <w:p w:rsidR="006F4713" w:rsidRDefault="00095762" w:rsidP="00AF74CE">
      <w:pPr>
        <w:jc w:val="both"/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lastRenderedPageBreak/>
        <w:t>Transmisión Comunitaria</w:t>
      </w:r>
    </w:p>
    <w:tbl>
      <w:tblPr>
        <w:tblW w:w="11694" w:type="dxa"/>
        <w:tblInd w:w="-1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446"/>
        <w:gridCol w:w="446"/>
        <w:gridCol w:w="525"/>
        <w:gridCol w:w="446"/>
        <w:gridCol w:w="446"/>
        <w:gridCol w:w="526"/>
        <w:gridCol w:w="494"/>
        <w:gridCol w:w="446"/>
        <w:gridCol w:w="446"/>
        <w:gridCol w:w="446"/>
        <w:gridCol w:w="385"/>
        <w:gridCol w:w="446"/>
        <w:gridCol w:w="446"/>
        <w:gridCol w:w="446"/>
        <w:gridCol w:w="446"/>
        <w:gridCol w:w="446"/>
        <w:gridCol w:w="446"/>
        <w:gridCol w:w="446"/>
        <w:gridCol w:w="446"/>
        <w:gridCol w:w="569"/>
        <w:gridCol w:w="569"/>
      </w:tblGrid>
      <w:tr w:rsidR="00AF74CE" w:rsidRPr="00AF74CE" w:rsidTr="00845EAA">
        <w:trPr>
          <w:trHeight w:val="300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MUNICIPIO</w:t>
            </w:r>
          </w:p>
        </w:tc>
        <w:tc>
          <w:tcPr>
            <w:tcW w:w="9758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SEMANAS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N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21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Altagracia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Belén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Buenos Aires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Cárdenas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Moyogalpa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9.4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Potosí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F74CE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Rivas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5.4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2.7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San Jorge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10.9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10.9</w:t>
            </w:r>
          </w:p>
        </w:tc>
      </w:tr>
      <w:tr w:rsidR="00845EAA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San Juan del Sur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F74CE" w:rsidRPr="00AF74CE" w:rsidTr="00845EAA">
        <w:trPr>
          <w:trHeight w:val="300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Tola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4.2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845EAA" w:rsidRPr="00AF74CE" w:rsidTr="00845EAA">
        <w:trPr>
          <w:trHeight w:val="315"/>
        </w:trPr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Total SILAIS RIVAS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1.6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2.1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F74CE" w:rsidRPr="00AF74CE" w:rsidRDefault="00AF74CE" w:rsidP="00AF7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F74CE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</w:tr>
    </w:tbl>
    <w:p w:rsidR="00AF74CE" w:rsidRDefault="00AF74CE" w:rsidP="00AF74CE">
      <w:pPr>
        <w:jc w:val="both"/>
        <w:rPr>
          <w:rFonts w:ascii="Arial" w:hAnsi="Arial" w:cs="Arial"/>
          <w:b/>
          <w:sz w:val="28"/>
        </w:rPr>
      </w:pPr>
    </w:p>
    <w:p w:rsidR="006F4713" w:rsidRDefault="00845EAA" w:rsidP="006F4713">
      <w:pPr>
        <w:jc w:val="both"/>
        <w:rPr>
          <w:rFonts w:ascii="Arial" w:hAnsi="Arial" w:cs="Arial"/>
          <w:b/>
          <w:sz w:val="28"/>
        </w:rPr>
      </w:pPr>
      <w:r w:rsidRPr="00F57498">
        <w:rPr>
          <w:noProof/>
          <w:lang w:eastAsia="es-NI"/>
        </w:rPr>
        <w:drawing>
          <wp:inline distT="0" distB="0" distL="0" distR="0" wp14:anchorId="213C22AE" wp14:editId="1B0B38AB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971B80">
        <w:rPr>
          <w:rFonts w:ascii="Arial" w:hAnsi="Arial" w:cs="Arial"/>
          <w:sz w:val="24"/>
        </w:rPr>
        <w:t>Mayo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402552">
        <w:rPr>
          <w:rFonts w:ascii="Arial" w:hAnsi="Arial" w:cs="Arial"/>
          <w:sz w:val="24"/>
        </w:rPr>
        <w:t>9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 en el resto</w:t>
      </w:r>
      <w:r w:rsidR="00E10AD8">
        <w:rPr>
          <w:rFonts w:ascii="Arial" w:hAnsi="Arial" w:cs="Arial"/>
          <w:sz w:val="24"/>
        </w:rPr>
        <w:t xml:space="preserve"> no hubo</w:t>
      </w:r>
      <w:r w:rsidRPr="009C3318">
        <w:rPr>
          <w:rFonts w:ascii="Arial" w:hAnsi="Arial" w:cs="Arial"/>
          <w:sz w:val="24"/>
        </w:rPr>
        <w:t xml:space="preserve"> nivel</w:t>
      </w:r>
      <w:r w:rsidR="00E10AD8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 transmisión</w:t>
      </w:r>
      <w:r w:rsidR="00E10AD8">
        <w:rPr>
          <w:rFonts w:ascii="Arial" w:hAnsi="Arial" w:cs="Arial"/>
          <w:sz w:val="24"/>
        </w:rPr>
        <w:t xml:space="preserve"> ya que no registraban </w:t>
      </w:r>
      <w:r w:rsidR="0056150E">
        <w:rPr>
          <w:rFonts w:ascii="Arial" w:hAnsi="Arial" w:cs="Arial"/>
          <w:sz w:val="24"/>
        </w:rPr>
        <w:t>c</w:t>
      </w:r>
      <w:r w:rsidR="00E10AD8">
        <w:rPr>
          <w:rFonts w:ascii="Arial" w:hAnsi="Arial" w:cs="Arial"/>
          <w:sz w:val="24"/>
        </w:rPr>
        <w:t>asos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3274CE" w:rsidRDefault="003274CE" w:rsidP="00672BB8">
      <w:pPr>
        <w:jc w:val="both"/>
        <w:rPr>
          <w:rFonts w:ascii="Arial" w:hAnsi="Arial" w:cs="Arial"/>
          <w:b/>
          <w:sz w:val="24"/>
        </w:rPr>
      </w:pPr>
    </w:p>
    <w:p w:rsidR="00971B80" w:rsidRDefault="00971B80" w:rsidP="00672BB8">
      <w:pPr>
        <w:jc w:val="both"/>
        <w:rPr>
          <w:rFonts w:ascii="Arial" w:hAnsi="Arial" w:cs="Arial"/>
          <w:b/>
          <w:sz w:val="24"/>
        </w:rPr>
      </w:pPr>
    </w:p>
    <w:p w:rsidR="00095762" w:rsidRDefault="001378B8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B7F63" wp14:editId="0F62F08E">
                <wp:simplePos x="0" y="0"/>
                <wp:positionH relativeFrom="column">
                  <wp:posOffset>3424555</wp:posOffset>
                </wp:positionH>
                <wp:positionV relativeFrom="paragraph">
                  <wp:posOffset>223079</wp:posOffset>
                </wp:positionV>
                <wp:extent cx="2592070" cy="105981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05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78B8" w:rsidRPr="001378B8" w:rsidRDefault="001378B8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 w:rsidR="00592E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21</w:t>
                            </w: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Título" o:spid="_x0000_s1028" type="#_x0000_t202" style="position:absolute;left:0;text-align:left;margin-left:269.65pt;margin-top:17.55pt;width:204.1pt;height:83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g/vgEAAGIDAAAOAAAAZHJzL2Uyb0RvYy54bWysU9Fu2yAUfZ/Uf0C8N9hWsjZWnGpttWlS&#10;tU1q9wEEQ4xmuAhI7Oyf9hX7sV1wmmbbW9UX7Ot7OJxzuF7djKYne+mDBtvQclZQIq2AVtttQ78/&#10;fby8piREblveg5UNPchAb9YX71aDq2UFHfSt9ARJbKgH19AuRlczFkQnDQ8zcNJiU4E3PGLpt6z1&#10;fEB207OqKN6zAXzrPAgZAn69n5p0nfmVkiJ+VSrISPqGoraYV5/XTVrZesXrreeu0+Iog79CheHa&#10;4qEnqnseOdl5/R+V0cJDABVnAgwDpbSQ2QO6KYt/3Dx23MnsBcMJ7hRTeDta8WX/zRPdNnRJieUG&#10;r6gkT79/xV0PKZzBhRoxjw5RcbyFEfvZaHAPIH4EhLAzzLQhIDqFMSpv0hNtEtyI+R9OmcsxEoEf&#10;q8WyKq6wJbBXFovldblIB7OX7c6H+EmCIemloR4vNUvg+4cQJ+gz5KhmEpB0xXEzZnvVs5sNtAc0&#10;gzOLXB34n5T0ny1Guizn8zQiuZgvrios/Hln81cn9ncwDRW3AnkaKqLPuix82EVQOmtLIqYjj9rw&#10;IrO749ClSTmvM+rl11j/AQAA//8DAFBLAwQUAAYACAAAACEAJsoZyuIAAAAKAQAADwAAAGRycy9k&#10;b3ducmV2LnhtbEyPQU7DMBBF90jcwRokNhF1mhDahjgVQoJVJaDtAdx4GkeNx1HspAmnx6xgOfpP&#10;/78ptpNp2Yi9aywJWC5iYEiVVQ3VAo6Ht4c1MOclKdlaQgEzOtiWtzeFzJW90heOe1+zUEIulwK0&#10;913Ouas0GukWtkMK2dn2Rvpw9jVXvbyGctPyJI6fuJENhQUtO3zVWF32gxHwPg9rX6f6I8q+o3H1&#10;uTvO0e4ixP3d9PIMzOPk/2D41Q/qUAankx1IOdYKyNJNGlABabYEFoDN4yoDdhKQxEkMvCz4/xfK&#10;HwAAAP//AwBQSwECLQAUAAYACAAAACEAtoM4kv4AAADhAQAAEwAAAAAAAAAAAAAAAAAAAAAAW0Nv&#10;bnRlbnRfVHlwZXNdLnhtbFBLAQItABQABgAIAAAAIQA4/SH/1gAAAJQBAAALAAAAAAAAAAAAAAAA&#10;AC8BAABfcmVscy8ucmVsc1BLAQItABQABgAIAAAAIQAXw6g/vgEAAGIDAAAOAAAAAAAAAAAAAAAA&#10;AC4CAABkcnMvZTJvRG9jLnhtbFBLAQItABQABgAIAAAAIQAmyhnK4gAAAAoBAAAPAAAAAAAAAAAA&#10;AAAAABgEAABkcnMvZG93bnJldi54bWxQSwUGAAAAAAQABADzAAAAJwUAAAAA&#10;" filled="f" stroked="f">
                <v:path arrowok="t"/>
                <v:textbox>
                  <w:txbxContent>
                    <w:p w:rsidR="001378B8" w:rsidRPr="001378B8" w:rsidRDefault="001378B8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 w:rsidR="00592E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21</w:t>
                      </w: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9B48B0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C79735" wp14:editId="3900A618">
                <wp:simplePos x="0" y="0"/>
                <wp:positionH relativeFrom="column">
                  <wp:posOffset>-104775</wp:posOffset>
                </wp:positionH>
                <wp:positionV relativeFrom="paragraph">
                  <wp:posOffset>47846</wp:posOffset>
                </wp:positionV>
                <wp:extent cx="2592070" cy="850265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9CA" w:rsidRPr="001378B8" w:rsidRDefault="005529CA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 w:rsidR="009B48B0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21</w:t>
                            </w: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3A7F64" w:rsidRPr="001378B8" w:rsidRDefault="003A7F64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8.25pt;margin-top:3.75pt;width:204.1pt;height:6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9YvwEAAGEDAAAOAAAAZHJzL2Uyb0RvYy54bWysU1tu2zAQ/C/QOxD8r/Wo7SSC5aBo0KBA&#10;0AZIegCaIi2hIpdY0pbcO/UUvViXtOwkzV/QH0LLXc7OzK5W16Pp2V6h78DWvJjlnCkroenstuY/&#10;Hr98uOTMB2Eb0YNVNT8oz6/X79+tBlepElroG4WMQKyvBlfzNgRXZZmXrTLCz8ApS0kNaESgELdZ&#10;g2IgdNNnZZ4vswGwcQhSeU+3N8ckXyd8rZUM37X2KrC+5sQtpBPTuYlntl6JaovCtZ2caIg3sDCi&#10;s9T0DHUjgmA77F5BmU4ieNBhJsFkoHUnVdJAaor8HzUPrXAqaSFzvDvb5P8frPy2v0fWNTVfcmaF&#10;oREV7PHP77DrIZozOF9RzYO7xyjPuzuQPz2zcIs0rSKWZC9qYuCn6lGjia9IJhuT54ez52oMTNJl&#10;ubgq8wsajaTc5SIvl4sEKqrTa4c+3CowLH7UHGmmyWqxv/Mh9hfVqWQic+wfmYRxMyZ1H09iNtAc&#10;SDGtLGG1gL84679acvSqmM/jhqRgvrgoKcDnmc2LTOg/w3GnhJWEU3MZMPGy8GkXQHeJWyRxbDlx&#10;ozkmytPOxUV5Hqeqpz9j/RcAAP//AwBQSwMEFAAGAAgAAAAhAFp6OH3gAAAACQEAAA8AAABkcnMv&#10;ZG93bnJldi54bWxMj8FKw0AQhu+C77CM4EXaTTQ2NmZTquBB8GIqiLdpdkxCs7thd9Omb+940tMw&#10;/B//fFNuZjOII/nQO6sgXSYgyDZO97ZV8LF7WTyACBGtxsFZUnCmAJvq8qLEQruTfadjHVvBJTYU&#10;qKCLcSykDE1HBsPSjWQ5+3beYOTVt1J7PHG5GeRtkqykwd7yhQ5Heu6oOdSTUXA4v5mnbfbqdvn8&#10;6Sdz06/xq1bq+mrePoKINMc/GH71WR0qdtq7yeogBgWLdHXPqIKcB+d36zQHsWcwSzOQVSn/f1D9&#10;AAAA//8DAFBLAQItABQABgAIAAAAIQC2gziS/gAAAOEBAAATAAAAAAAAAAAAAAAAAAAAAABbQ29u&#10;dGVudF9UeXBlc10ueG1sUEsBAi0AFAAGAAgAAAAhADj9If/WAAAAlAEAAAsAAAAAAAAAAAAAAAAA&#10;LwEAAF9yZWxzLy5yZWxzUEsBAi0AFAAGAAgAAAAhAHMYj1i/AQAAYQMAAA4AAAAAAAAAAAAAAAAA&#10;LgIAAGRycy9lMm9Eb2MueG1sUEsBAi0AFAAGAAgAAAAhAFp6OH3gAAAACQEAAA8AAAAAAAAAAAAA&#10;AAAAGQQAAGRycy9kb3ducmV2LnhtbFBLBQYAAAAABAAEAPMAAAAmBQAAAAA=&#10;" filled="f" stroked="f">
                <v:path arrowok="t"/>
                <o:lock v:ext="edit" grouping="t"/>
                <v:textbox>
                  <w:txbxContent>
                    <w:p w:rsidR="005529CA" w:rsidRPr="001378B8" w:rsidRDefault="005529CA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 w:rsidR="009B48B0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21</w:t>
                      </w: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  <w:p w:rsidR="003A7F64" w:rsidRPr="001378B8" w:rsidRDefault="003A7F64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3BF2" w:rsidRDefault="00713BF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9B48B0" w:rsidRDefault="009B48B0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9B48B0" w:rsidRPr="009B48B0" w:rsidTr="009B48B0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9B48B0" w:rsidRPr="009B48B0" w:rsidTr="009B48B0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9B48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9B48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2.2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1.9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1.8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1.7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1.3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lang w:eastAsia="es-NI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1.3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1.2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  <w:tr w:rsidR="009B48B0" w:rsidRPr="009B48B0" w:rsidTr="009B48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0.4</w:t>
            </w:r>
          </w:p>
        </w:tc>
      </w:tr>
      <w:tr w:rsidR="009B48B0" w:rsidRPr="009B48B0" w:rsidTr="009B48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9B48B0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8B0" w:rsidRPr="009B48B0" w:rsidRDefault="009B48B0" w:rsidP="009B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9B4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</w:tbl>
    <w:p w:rsidR="009B48B0" w:rsidRDefault="009B48B0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2E6A0B">
        <w:rPr>
          <w:rFonts w:ascii="Arial" w:hAnsi="Arial" w:cs="Arial"/>
          <w:sz w:val="24"/>
        </w:rPr>
        <w:t>Mayo</w:t>
      </w:r>
      <w:r w:rsidRPr="009044DC">
        <w:rPr>
          <w:rFonts w:ascii="Arial" w:hAnsi="Arial" w:cs="Arial"/>
          <w:sz w:val="24"/>
        </w:rPr>
        <w:t xml:space="preserve"> fue de </w:t>
      </w:r>
      <w:r w:rsidR="00592EE6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>.</w:t>
      </w:r>
      <w:r w:rsidR="00592EE6">
        <w:rPr>
          <w:rFonts w:ascii="Arial" w:hAnsi="Arial" w:cs="Arial"/>
          <w:sz w:val="24"/>
        </w:rPr>
        <w:t>2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92EE6">
        <w:rPr>
          <w:rFonts w:ascii="Arial" w:hAnsi="Arial" w:cs="Arial"/>
          <w:sz w:val="24"/>
        </w:rPr>
        <w:t>San Jorge, Moyogalpa, Rivas</w:t>
      </w:r>
      <w:r w:rsidR="0073265E">
        <w:rPr>
          <w:rFonts w:ascii="Arial" w:hAnsi="Arial" w:cs="Arial"/>
          <w:sz w:val="24"/>
        </w:rPr>
        <w:t xml:space="preserve">, </w:t>
      </w:r>
      <w:r w:rsidR="00D72D37">
        <w:rPr>
          <w:rFonts w:ascii="Arial" w:hAnsi="Arial" w:cs="Arial"/>
          <w:sz w:val="24"/>
        </w:rPr>
        <w:t xml:space="preserve">Buenos Aires, </w:t>
      </w:r>
      <w:r w:rsidR="0073265E">
        <w:rPr>
          <w:rFonts w:ascii="Arial" w:hAnsi="Arial" w:cs="Arial"/>
          <w:sz w:val="24"/>
        </w:rPr>
        <w:t>Cárdenas y</w:t>
      </w:r>
      <w:r w:rsidR="00A42F05">
        <w:rPr>
          <w:rFonts w:ascii="Arial" w:hAnsi="Arial" w:cs="Arial"/>
          <w:sz w:val="24"/>
        </w:rPr>
        <w:t xml:space="preserve"> </w:t>
      </w:r>
      <w:r w:rsidR="00D72D37">
        <w:rPr>
          <w:rFonts w:ascii="Arial" w:hAnsi="Arial" w:cs="Arial"/>
          <w:sz w:val="24"/>
        </w:rPr>
        <w:t>Tola</w:t>
      </w:r>
      <w:r w:rsidR="00134579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D72D37">
        <w:rPr>
          <w:rFonts w:ascii="Arial" w:hAnsi="Arial" w:cs="Arial"/>
          <w:sz w:val="24"/>
        </w:rPr>
        <w:t>6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 xml:space="preserve">mes de </w:t>
      </w:r>
      <w:r w:rsidR="00D72D37">
        <w:rPr>
          <w:rFonts w:ascii="Arial" w:hAnsi="Arial" w:cs="Arial"/>
          <w:sz w:val="24"/>
        </w:rPr>
        <w:t>Mayo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bookmarkStart w:id="0" w:name="_GoBack"/>
      <w:bookmarkEnd w:id="0"/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D4" w:rsidRDefault="00CE6AD4" w:rsidP="0082341D">
      <w:pPr>
        <w:spacing w:after="0" w:line="240" w:lineRule="auto"/>
      </w:pPr>
      <w:r>
        <w:separator/>
      </w:r>
    </w:p>
  </w:endnote>
  <w:endnote w:type="continuationSeparator" w:id="0">
    <w:p w:rsidR="00CE6AD4" w:rsidRDefault="00CE6AD4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D4" w:rsidRDefault="00CE6AD4" w:rsidP="0082341D">
      <w:pPr>
        <w:spacing w:after="0" w:line="240" w:lineRule="auto"/>
      </w:pPr>
      <w:r>
        <w:separator/>
      </w:r>
    </w:p>
  </w:footnote>
  <w:footnote w:type="continuationSeparator" w:id="0">
    <w:p w:rsidR="00CE6AD4" w:rsidRDefault="00CE6AD4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50B7F"/>
    <w:rsid w:val="00063AF7"/>
    <w:rsid w:val="00072883"/>
    <w:rsid w:val="00095762"/>
    <w:rsid w:val="000A2267"/>
    <w:rsid w:val="000B1FED"/>
    <w:rsid w:val="000B482D"/>
    <w:rsid w:val="000C1CBB"/>
    <w:rsid w:val="000C75C1"/>
    <w:rsid w:val="000E4511"/>
    <w:rsid w:val="000E6165"/>
    <w:rsid w:val="00105DE6"/>
    <w:rsid w:val="0012075E"/>
    <w:rsid w:val="001279C3"/>
    <w:rsid w:val="00134579"/>
    <w:rsid w:val="001378B8"/>
    <w:rsid w:val="00141D84"/>
    <w:rsid w:val="001A4933"/>
    <w:rsid w:val="001B03EE"/>
    <w:rsid w:val="001C61EB"/>
    <w:rsid w:val="001D70A8"/>
    <w:rsid w:val="001E2918"/>
    <w:rsid w:val="001F25E5"/>
    <w:rsid w:val="001F65C0"/>
    <w:rsid w:val="00215339"/>
    <w:rsid w:val="0023416A"/>
    <w:rsid w:val="00260894"/>
    <w:rsid w:val="00261B24"/>
    <w:rsid w:val="002769EE"/>
    <w:rsid w:val="0028517F"/>
    <w:rsid w:val="00291793"/>
    <w:rsid w:val="002938A9"/>
    <w:rsid w:val="002A27D0"/>
    <w:rsid w:val="002D1C1A"/>
    <w:rsid w:val="002E6A0B"/>
    <w:rsid w:val="00300DEA"/>
    <w:rsid w:val="003014C7"/>
    <w:rsid w:val="0032155B"/>
    <w:rsid w:val="003274CE"/>
    <w:rsid w:val="003378C0"/>
    <w:rsid w:val="003A29BA"/>
    <w:rsid w:val="003A7F64"/>
    <w:rsid w:val="003E4181"/>
    <w:rsid w:val="003F2A6F"/>
    <w:rsid w:val="00402552"/>
    <w:rsid w:val="004172FA"/>
    <w:rsid w:val="00453B65"/>
    <w:rsid w:val="00484AC5"/>
    <w:rsid w:val="00484C1D"/>
    <w:rsid w:val="004C0DD3"/>
    <w:rsid w:val="004C39D8"/>
    <w:rsid w:val="004D518F"/>
    <w:rsid w:val="00505F1F"/>
    <w:rsid w:val="00513DCD"/>
    <w:rsid w:val="00513F85"/>
    <w:rsid w:val="00517F8B"/>
    <w:rsid w:val="00532F91"/>
    <w:rsid w:val="0054354B"/>
    <w:rsid w:val="005529CA"/>
    <w:rsid w:val="0056150E"/>
    <w:rsid w:val="00586979"/>
    <w:rsid w:val="0058762E"/>
    <w:rsid w:val="00592EE6"/>
    <w:rsid w:val="005B2640"/>
    <w:rsid w:val="005E7C24"/>
    <w:rsid w:val="00622FD0"/>
    <w:rsid w:val="006425CD"/>
    <w:rsid w:val="00645F0A"/>
    <w:rsid w:val="00655972"/>
    <w:rsid w:val="00672BB8"/>
    <w:rsid w:val="006A45FD"/>
    <w:rsid w:val="006B7DE3"/>
    <w:rsid w:val="006D12EB"/>
    <w:rsid w:val="006D2830"/>
    <w:rsid w:val="006D7B6A"/>
    <w:rsid w:val="006E1840"/>
    <w:rsid w:val="006E6AE5"/>
    <w:rsid w:val="006F4713"/>
    <w:rsid w:val="0070005C"/>
    <w:rsid w:val="00704DEF"/>
    <w:rsid w:val="00713BF2"/>
    <w:rsid w:val="0073265E"/>
    <w:rsid w:val="00751A27"/>
    <w:rsid w:val="007529C0"/>
    <w:rsid w:val="007602B8"/>
    <w:rsid w:val="00771A42"/>
    <w:rsid w:val="007C4386"/>
    <w:rsid w:val="007E0671"/>
    <w:rsid w:val="00802A94"/>
    <w:rsid w:val="00813143"/>
    <w:rsid w:val="0082004E"/>
    <w:rsid w:val="0082341D"/>
    <w:rsid w:val="00845EAA"/>
    <w:rsid w:val="00850AC8"/>
    <w:rsid w:val="00874E23"/>
    <w:rsid w:val="008C4536"/>
    <w:rsid w:val="008D5105"/>
    <w:rsid w:val="008F3EAB"/>
    <w:rsid w:val="008F6816"/>
    <w:rsid w:val="00947BB8"/>
    <w:rsid w:val="0096363C"/>
    <w:rsid w:val="00971B80"/>
    <w:rsid w:val="0097296B"/>
    <w:rsid w:val="00990E02"/>
    <w:rsid w:val="009A1AB3"/>
    <w:rsid w:val="009A552A"/>
    <w:rsid w:val="009B48B0"/>
    <w:rsid w:val="009D5C53"/>
    <w:rsid w:val="009E206D"/>
    <w:rsid w:val="00A076CC"/>
    <w:rsid w:val="00A10A4D"/>
    <w:rsid w:val="00A3294D"/>
    <w:rsid w:val="00A42F05"/>
    <w:rsid w:val="00A74586"/>
    <w:rsid w:val="00AA0B9C"/>
    <w:rsid w:val="00AA1EBF"/>
    <w:rsid w:val="00AB5028"/>
    <w:rsid w:val="00AC722C"/>
    <w:rsid w:val="00AD0C01"/>
    <w:rsid w:val="00AD5773"/>
    <w:rsid w:val="00AE15F0"/>
    <w:rsid w:val="00AE1AB1"/>
    <w:rsid w:val="00AF74CE"/>
    <w:rsid w:val="00B74B03"/>
    <w:rsid w:val="00BA6D1B"/>
    <w:rsid w:val="00BB16C2"/>
    <w:rsid w:val="00BB282A"/>
    <w:rsid w:val="00C00A1A"/>
    <w:rsid w:val="00C21653"/>
    <w:rsid w:val="00C5103E"/>
    <w:rsid w:val="00C8185C"/>
    <w:rsid w:val="00CC1D2B"/>
    <w:rsid w:val="00CD3EA1"/>
    <w:rsid w:val="00CE3EB7"/>
    <w:rsid w:val="00CE6AD4"/>
    <w:rsid w:val="00D04667"/>
    <w:rsid w:val="00D06143"/>
    <w:rsid w:val="00D21D0E"/>
    <w:rsid w:val="00D26007"/>
    <w:rsid w:val="00D31801"/>
    <w:rsid w:val="00D671CF"/>
    <w:rsid w:val="00D72D37"/>
    <w:rsid w:val="00D75861"/>
    <w:rsid w:val="00D94C54"/>
    <w:rsid w:val="00DA5A32"/>
    <w:rsid w:val="00DE10A9"/>
    <w:rsid w:val="00E10AD8"/>
    <w:rsid w:val="00E135D9"/>
    <w:rsid w:val="00E327F1"/>
    <w:rsid w:val="00E40B82"/>
    <w:rsid w:val="00E4763F"/>
    <w:rsid w:val="00E47E98"/>
    <w:rsid w:val="00E53059"/>
    <w:rsid w:val="00E738ED"/>
    <w:rsid w:val="00E964C3"/>
    <w:rsid w:val="00EA3002"/>
    <w:rsid w:val="00EA373B"/>
    <w:rsid w:val="00EE113B"/>
    <w:rsid w:val="00EE748F"/>
    <w:rsid w:val="00EE7495"/>
    <w:rsid w:val="00F06D26"/>
    <w:rsid w:val="00F36E00"/>
    <w:rsid w:val="00F55E81"/>
    <w:rsid w:val="00F606DC"/>
    <w:rsid w:val="00F65EC2"/>
    <w:rsid w:val="00F701E9"/>
    <w:rsid w:val="00F77926"/>
    <w:rsid w:val="00F81F28"/>
    <w:rsid w:val="00FC0BC8"/>
    <w:rsid w:val="00FD2905"/>
    <w:rsid w:val="00FE7B8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'1'!$B$15:$V$15</c:f>
              <c:numCache>
                <c:formatCode>General</c:formatCode>
                <c:ptCount val="21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253514880"/>
        <c:axId val="253516416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'1'!$B$16:$V$16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514880"/>
        <c:axId val="253516416"/>
      </c:lineChart>
      <c:catAx>
        <c:axId val="25351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3516416"/>
        <c:crosses val="autoZero"/>
        <c:auto val="1"/>
        <c:lblAlgn val="ctr"/>
        <c:lblOffset val="100"/>
        <c:noMultiLvlLbl val="0"/>
      </c:catAx>
      <c:valAx>
        <c:axId val="25351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514880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Tola</c:v>
                </c:pt>
                <c:pt idx="2">
                  <c:v>Moyogalpa</c:v>
                </c:pt>
                <c:pt idx="3">
                  <c:v>San Jorge</c:v>
                </c:pt>
                <c:pt idx="4">
                  <c:v>Altagracia</c:v>
                </c:pt>
                <c:pt idx="5">
                  <c:v>Belén</c:v>
                </c:pt>
                <c:pt idx="6">
                  <c:v>Buenos Aires</c:v>
                </c:pt>
                <c:pt idx="7">
                  <c:v>Cárdenas</c:v>
                </c:pt>
                <c:pt idx="8">
                  <c:v>San Juan del Sur</c:v>
                </c:pt>
                <c:pt idx="9">
                  <c:v>Potosí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0.45</c:v>
                </c:pt>
                <c:pt idx="1">
                  <c:v>0.14000000000000001</c:v>
                </c:pt>
                <c:pt idx="2">
                  <c:v>0.09</c:v>
                </c:pt>
                <c:pt idx="3">
                  <c:v>0.09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503360"/>
        <c:axId val="253504896"/>
      </c:barChart>
      <c:catAx>
        <c:axId val="253503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53504896"/>
        <c:crosses val="autoZero"/>
        <c:auto val="1"/>
        <c:lblAlgn val="ctr"/>
        <c:lblOffset val="100"/>
        <c:noMultiLvlLbl val="0"/>
      </c:catAx>
      <c:valAx>
        <c:axId val="253504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5033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21º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-3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15732736"/>
        <c:axId val="315734272"/>
      </c:barChart>
      <c:catAx>
        <c:axId val="315732736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15734272"/>
        <c:crosses val="autoZero"/>
        <c:auto val="1"/>
        <c:lblAlgn val="ctr"/>
        <c:lblOffset val="100"/>
        <c:noMultiLvlLbl val="0"/>
      </c:catAx>
      <c:valAx>
        <c:axId val="31573427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157327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21º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10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[Hoja3]P1!$C$3:$D$3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[Hoja3]P1!$C$4:$D$4</c:f>
              <c:numCache>
                <c:formatCode>General</c:formatCode>
                <c:ptCount val="2"/>
                <c:pt idx="0" formatCode="0;0">
                  <c:v>-10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870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20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6559DE6-30FE-45B4-B71E-C5CC92FD2011}" type="presOf" srcId="{4572347B-FDCC-4D40-955D-0300739469CF}" destId="{6A75484F-6B0A-4CD4-8777-EE2BDC321053}" srcOrd="0" destOrd="0" presId="urn:microsoft.com/office/officeart/2008/layout/VerticalCurvedList"/>
    <dgm:cxn modelId="{BE122369-7522-4D68-B3F8-BBC1600D3CAE}" type="presOf" srcId="{0B79DB07-FEC0-4692-A103-F60B29259690}" destId="{C2F9E7C4-FE48-4ECB-9CBF-4E44E2EAEDA8}" srcOrd="0" destOrd="0" presId="urn:microsoft.com/office/officeart/2008/layout/VerticalCurvedList"/>
    <dgm:cxn modelId="{1A51859D-85D5-4C99-BE19-0C0E48C673BF}" type="presOf" srcId="{F843BA36-FBB8-4D33-843E-7F7F78FAD741}" destId="{89D70A02-B222-4417-8773-EAA434DE1AAD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135B55EB-566C-4F61-A9BA-9EF7FB55CBB3}" type="presOf" srcId="{04043959-B629-4DE8-8315-DF88C31AFAB0}" destId="{0410D381-D05A-4A9A-AF14-15B59EDC2CE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BBB33054-830F-4FAF-92E8-DA7324C7D09A}" type="presOf" srcId="{677DFF59-DEF3-4FD4-91DD-9882B3D35904}" destId="{89D70A02-B222-4417-8773-EAA434DE1AAD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8B5A7341-4212-4021-8258-E7A09A2302F1}" type="presOf" srcId="{73BEB52C-626B-4074-85A0-1C96960ADE8F}" destId="{730F9EC8-06F4-4A71-AB00-79739AEB9676}" srcOrd="0" destOrd="0" presId="urn:microsoft.com/office/officeart/2008/layout/VerticalCurvedList"/>
    <dgm:cxn modelId="{870F5613-F578-4EBE-BFDC-E6929BFC68B8}" type="presOf" srcId="{4D3DA8A8-879B-4BD3-B242-5783B667FE7E}" destId="{0410D381-D05A-4A9A-AF14-15B59EDC2CE6}" srcOrd="0" destOrd="1" presId="urn:microsoft.com/office/officeart/2008/layout/VerticalCurvedList"/>
    <dgm:cxn modelId="{B707178B-F0E7-4522-A6D7-0677ED5247D6}" type="presOf" srcId="{62096081-9C9D-4636-9D9E-39DE572EE29F}" destId="{6A75484F-6B0A-4CD4-8777-EE2BDC321053}" srcOrd="0" destOrd="1" presId="urn:microsoft.com/office/officeart/2008/layout/VerticalCurvedList"/>
    <dgm:cxn modelId="{2A6319EF-F3BF-4239-9D59-B0394CFF9BCC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9A7C982-5AAA-4E26-99EF-92E6197DFDC9}" type="presOf" srcId="{858CFB1C-108B-460C-B456-0D0BFA519988}" destId="{F9CBDA24-6466-4970-BEFD-0C117089F9F4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43CF3A73-B153-488A-9CB0-0BD303F512F2}" type="presParOf" srcId="{730F9EC8-06F4-4A71-AB00-79739AEB9676}" destId="{B1C57B43-7763-419A-B9C1-F1802D5EF39B}" srcOrd="0" destOrd="0" presId="urn:microsoft.com/office/officeart/2008/layout/VerticalCurvedList"/>
    <dgm:cxn modelId="{5606DEC5-E05D-4391-A7E6-A63173A42F5B}" type="presParOf" srcId="{B1C57B43-7763-419A-B9C1-F1802D5EF39B}" destId="{15586FDF-0390-4468-B1B5-223BD080702F}" srcOrd="0" destOrd="0" presId="urn:microsoft.com/office/officeart/2008/layout/VerticalCurvedList"/>
    <dgm:cxn modelId="{69B4AD5F-03FF-433C-BE37-BC3840A5CBF4}" type="presParOf" srcId="{15586FDF-0390-4468-B1B5-223BD080702F}" destId="{50652805-2BE7-40A3-A165-79560558A992}" srcOrd="0" destOrd="0" presId="urn:microsoft.com/office/officeart/2008/layout/VerticalCurvedList"/>
    <dgm:cxn modelId="{923B1C9A-A56E-4147-BE4D-8D5B2F719269}" type="presParOf" srcId="{15586FDF-0390-4468-B1B5-223BD080702F}" destId="{C2F9E7C4-FE48-4ECB-9CBF-4E44E2EAEDA8}" srcOrd="1" destOrd="0" presId="urn:microsoft.com/office/officeart/2008/layout/VerticalCurvedList"/>
    <dgm:cxn modelId="{D8B32997-BDBA-4744-9C22-D50BF0F791B3}" type="presParOf" srcId="{15586FDF-0390-4468-B1B5-223BD080702F}" destId="{C82C4815-06FD-47A4-939A-1FB267516F78}" srcOrd="2" destOrd="0" presId="urn:microsoft.com/office/officeart/2008/layout/VerticalCurvedList"/>
    <dgm:cxn modelId="{EFE3883D-FA11-4276-B549-C2C8296B3D5D}" type="presParOf" srcId="{15586FDF-0390-4468-B1B5-223BD080702F}" destId="{0A560CEC-DC95-4ED2-B1EE-FFD7C0E8C1DF}" srcOrd="3" destOrd="0" presId="urn:microsoft.com/office/officeart/2008/layout/VerticalCurvedList"/>
    <dgm:cxn modelId="{16F94CF9-BE6E-4B03-A4BA-686908EC2E65}" type="presParOf" srcId="{B1C57B43-7763-419A-B9C1-F1802D5EF39B}" destId="{0410D381-D05A-4A9A-AF14-15B59EDC2CE6}" srcOrd="1" destOrd="0" presId="urn:microsoft.com/office/officeart/2008/layout/VerticalCurvedList"/>
    <dgm:cxn modelId="{F8F49CE6-AD60-4683-9628-7D9452FF56DF}" type="presParOf" srcId="{B1C57B43-7763-419A-B9C1-F1802D5EF39B}" destId="{49F37629-B8FA-4356-8347-B8FED195B745}" srcOrd="2" destOrd="0" presId="urn:microsoft.com/office/officeart/2008/layout/VerticalCurvedList"/>
    <dgm:cxn modelId="{106C8A30-207B-4FC5-9E29-AEE51AF34EE3}" type="presParOf" srcId="{49F37629-B8FA-4356-8347-B8FED195B745}" destId="{96B94C9A-08A4-4210-B5A1-5DF3C7AD73E2}" srcOrd="0" destOrd="0" presId="urn:microsoft.com/office/officeart/2008/layout/VerticalCurvedList"/>
    <dgm:cxn modelId="{5425855A-0D4B-4E37-A533-9B4483C5D685}" type="presParOf" srcId="{B1C57B43-7763-419A-B9C1-F1802D5EF39B}" destId="{F9CBDA24-6466-4970-BEFD-0C117089F9F4}" srcOrd="3" destOrd="0" presId="urn:microsoft.com/office/officeart/2008/layout/VerticalCurvedList"/>
    <dgm:cxn modelId="{A99FFD5B-82AF-4377-8F2E-931D70A268C5}" type="presParOf" srcId="{B1C57B43-7763-419A-B9C1-F1802D5EF39B}" destId="{69A9EDD6-5BF7-40AA-825D-8B8E4152B0E8}" srcOrd="4" destOrd="0" presId="urn:microsoft.com/office/officeart/2008/layout/VerticalCurvedList"/>
    <dgm:cxn modelId="{714722D3-564E-4292-BAE1-3D82C64E1C97}" type="presParOf" srcId="{69A9EDD6-5BF7-40AA-825D-8B8E4152B0E8}" destId="{CD780C04-D85D-449B-8D03-46DE662BA124}" srcOrd="0" destOrd="0" presId="urn:microsoft.com/office/officeart/2008/layout/VerticalCurvedList"/>
    <dgm:cxn modelId="{E0A8405B-47B2-4E73-9FDA-78ACA9EDE99E}" type="presParOf" srcId="{B1C57B43-7763-419A-B9C1-F1802D5EF39B}" destId="{89D70A02-B222-4417-8773-EAA434DE1AAD}" srcOrd="5" destOrd="0" presId="urn:microsoft.com/office/officeart/2008/layout/VerticalCurvedList"/>
    <dgm:cxn modelId="{F1B3200C-F0AD-4E67-A9F6-DF9409E68951}" type="presParOf" srcId="{B1C57B43-7763-419A-B9C1-F1802D5EF39B}" destId="{19E17D92-41DF-4844-8BA8-2ACDEA294616}" srcOrd="6" destOrd="0" presId="urn:microsoft.com/office/officeart/2008/layout/VerticalCurvedList"/>
    <dgm:cxn modelId="{3E577286-BFCC-4ADD-8A0A-8001A063E79A}" type="presParOf" srcId="{19E17D92-41DF-4844-8BA8-2ACDEA294616}" destId="{EBA4D1AD-9C90-4F05-80BA-0EC31E42A995}" srcOrd="0" destOrd="0" presId="urn:microsoft.com/office/officeart/2008/layout/VerticalCurvedList"/>
    <dgm:cxn modelId="{0033823E-C7C9-4E61-BAD9-9A3B3ECD95B2}" type="presParOf" srcId="{B1C57B43-7763-419A-B9C1-F1802D5EF39B}" destId="{6A75484F-6B0A-4CD4-8777-EE2BDC321053}" srcOrd="7" destOrd="0" presId="urn:microsoft.com/office/officeart/2008/layout/VerticalCurvedList"/>
    <dgm:cxn modelId="{9FFD3D01-DC9D-4C45-84D6-8508C41DBD27}" type="presParOf" srcId="{B1C57B43-7763-419A-B9C1-F1802D5EF39B}" destId="{BAA89B27-0DE4-475E-821C-2A3C402EB16C}" srcOrd="8" destOrd="0" presId="urn:microsoft.com/office/officeart/2008/layout/VerticalCurvedList"/>
    <dgm:cxn modelId="{B10CA1B0-CD98-4CBE-B4AC-76224F9C03A9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870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20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10</cp:revision>
  <dcterms:created xsi:type="dcterms:W3CDTF">2022-08-09T20:36:00Z</dcterms:created>
  <dcterms:modified xsi:type="dcterms:W3CDTF">2022-08-11T17:48:00Z</dcterms:modified>
</cp:coreProperties>
</file>