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606B0F82" w14:textId="77777777" w:rsidR="0047749D" w:rsidRDefault="0047749D"/>
    <w:p w14:paraId="063EC765" w14:textId="77777777" w:rsidR="0047749D" w:rsidRDefault="0047749D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05CCFAC0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8554BD">
        <w:rPr>
          <w:rFonts w:ascii="Arial" w:hAnsi="Arial" w:cs="Arial"/>
          <w:b/>
          <w:bCs/>
          <w:sz w:val="44"/>
          <w:lang w:val="es-ES"/>
        </w:rPr>
        <w:t>Semestre (Diciembre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3BF8013C">
            <wp:extent cx="3826079" cy="4829175"/>
            <wp:effectExtent l="0" t="0" r="4127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72152A9D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110B8AE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989B790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353ECAC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25AB68C3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BDED85B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F1EFAE4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13DA9AE6" w14:textId="3DCF441B" w:rsidR="004A54C7" w:rsidRDefault="00D916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siguiente  M</w:t>
      </w:r>
      <w:r w:rsidR="00323DB3">
        <w:rPr>
          <w:rFonts w:ascii="Arial" w:hAnsi="Arial" w:cs="Arial"/>
          <w:sz w:val="24"/>
          <w:lang w:val="es-NI"/>
        </w:rPr>
        <w:t xml:space="preserve">es de Diciembre no se registran casos positivos de Covid a pesar que se ha mantenido el Muestreo  se continua con la </w:t>
      </w:r>
      <w:r>
        <w:rPr>
          <w:rFonts w:ascii="Arial" w:hAnsi="Arial" w:cs="Arial"/>
          <w:sz w:val="24"/>
          <w:lang w:val="es-NI"/>
        </w:rPr>
        <w:t xml:space="preserve">búsqueda de más sospechosos una vigilancia más activa. </w:t>
      </w:r>
      <w:r w:rsidR="004A54C7">
        <w:rPr>
          <w:rFonts w:ascii="Arial" w:hAnsi="Arial" w:cs="Arial"/>
          <w:sz w:val="24"/>
          <w:lang w:val="es-NI"/>
        </w:rPr>
        <w:t xml:space="preserve">Ya en el </w:t>
      </w:r>
      <w:r>
        <w:rPr>
          <w:rFonts w:ascii="Arial" w:hAnsi="Arial" w:cs="Arial"/>
          <w:sz w:val="24"/>
          <w:lang w:val="es-NI"/>
        </w:rPr>
        <w:t>Segundo</w:t>
      </w:r>
      <w:r w:rsidR="005A630D">
        <w:rPr>
          <w:rFonts w:ascii="Arial" w:hAnsi="Arial" w:cs="Arial"/>
          <w:sz w:val="24"/>
          <w:lang w:val="es-NI"/>
        </w:rPr>
        <w:t xml:space="preserve"> año de la pandemia registramos</w:t>
      </w:r>
      <w:r w:rsidR="00EA7AD8">
        <w:rPr>
          <w:rFonts w:ascii="Arial" w:hAnsi="Arial" w:cs="Arial"/>
          <w:sz w:val="24"/>
          <w:lang w:val="es-NI"/>
        </w:rPr>
        <w:t xml:space="preserve"> 54</w:t>
      </w:r>
      <w:r w:rsidR="004A54C7">
        <w:rPr>
          <w:rFonts w:ascii="Arial" w:hAnsi="Arial" w:cs="Arial"/>
          <w:sz w:val="24"/>
          <w:lang w:val="es-NI"/>
        </w:rPr>
        <w:t xml:space="preserve"> casos acumulados</w:t>
      </w:r>
    </w:p>
    <w:p w14:paraId="5C632804" w14:textId="77777777" w:rsidR="004A54C7" w:rsidRDefault="004A54C7" w:rsidP="003B50D3">
      <w:pPr>
        <w:jc w:val="both"/>
        <w:rPr>
          <w:rFonts w:ascii="Arial" w:hAnsi="Arial" w:cs="Arial"/>
          <w:sz w:val="24"/>
          <w:lang w:val="es-NI"/>
        </w:rPr>
      </w:pPr>
    </w:p>
    <w:p w14:paraId="45606B7A" w14:textId="08390E2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1F080309" w14:textId="73B95C70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323DB3">
        <w:rPr>
          <w:rFonts w:ascii="Arial" w:hAnsi="Arial" w:cs="Arial"/>
          <w:sz w:val="24"/>
          <w:lang w:val="es-NI"/>
        </w:rPr>
        <w:t>observa que en las 49 a la</w:t>
      </w:r>
      <w:r w:rsidR="00004589">
        <w:rPr>
          <w:rFonts w:ascii="Arial" w:hAnsi="Arial" w:cs="Arial"/>
          <w:sz w:val="24"/>
          <w:lang w:val="es-NI"/>
        </w:rPr>
        <w:t>s</w:t>
      </w:r>
      <w:r w:rsidR="00323DB3">
        <w:rPr>
          <w:rFonts w:ascii="Arial" w:hAnsi="Arial" w:cs="Arial"/>
          <w:sz w:val="24"/>
          <w:lang w:val="es-NI"/>
        </w:rPr>
        <w:t xml:space="preserve"> 52</w:t>
      </w:r>
      <w:r w:rsidR="005A630D">
        <w:rPr>
          <w:rFonts w:ascii="Arial" w:hAnsi="Arial" w:cs="Arial"/>
          <w:sz w:val="24"/>
          <w:lang w:val="es-NI"/>
        </w:rPr>
        <w:t xml:space="preserve"> semanas del año </w:t>
      </w:r>
      <w:r w:rsidR="00672BA4">
        <w:rPr>
          <w:rFonts w:ascii="Arial" w:hAnsi="Arial" w:cs="Arial"/>
          <w:sz w:val="24"/>
          <w:lang w:val="es-NI"/>
        </w:rPr>
        <w:t>se reportan</w:t>
      </w:r>
      <w:r w:rsidR="00EA7AD8">
        <w:rPr>
          <w:rFonts w:ascii="Arial" w:hAnsi="Arial" w:cs="Arial"/>
          <w:sz w:val="24"/>
          <w:lang w:val="es-NI"/>
        </w:rPr>
        <w:t xml:space="preserve"> 54</w:t>
      </w:r>
      <w:r w:rsidR="005A630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casos Covid positivos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 xml:space="preserve"> acumulados más 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>Con</w:t>
      </w:r>
      <w:r w:rsidR="00D2165D">
        <w:rPr>
          <w:rFonts w:ascii="Arial" w:hAnsi="Arial" w:cs="Arial"/>
          <w:sz w:val="24"/>
          <w:lang w:val="es-NI"/>
        </w:rPr>
        <w:t xml:space="preserve"> una Tasa de </w:t>
      </w:r>
      <w:r w:rsidR="00EA7AD8">
        <w:rPr>
          <w:rFonts w:ascii="Arial" w:hAnsi="Arial" w:cs="Arial"/>
          <w:sz w:val="24"/>
          <w:lang w:val="es-NI"/>
        </w:rPr>
        <w:t>3.80</w:t>
      </w:r>
      <w:r w:rsidR="005A630D">
        <w:rPr>
          <w:rFonts w:ascii="Arial" w:hAnsi="Arial" w:cs="Arial"/>
          <w:sz w:val="24"/>
          <w:lang w:val="es-NI"/>
        </w:rPr>
        <w:t xml:space="preserve"> x cada 10,000 Hab.</w:t>
      </w:r>
      <w:r w:rsidR="00D2165D">
        <w:rPr>
          <w:rFonts w:ascii="Arial" w:hAnsi="Arial" w:cs="Arial"/>
          <w:sz w:val="24"/>
          <w:lang w:val="es-NI"/>
        </w:rPr>
        <w:t xml:space="preserve"> Y cero Fallecidos por Covid.</w:t>
      </w:r>
    </w:p>
    <w:p w14:paraId="11693056" w14:textId="7D50E381" w:rsidR="003B50D3" w:rsidRDefault="003B50D3" w:rsidP="003B50D3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E338CF">
        <w:rPr>
          <w:rFonts w:ascii="Arial" w:hAnsi="Arial" w:cs="Arial"/>
          <w:sz w:val="24"/>
          <w:lang w:val="es-MX"/>
        </w:rPr>
        <w:t xml:space="preserve"> Cabe señalar que en tenemos 63</w:t>
      </w:r>
      <w:r w:rsidR="00672BA4">
        <w:rPr>
          <w:rFonts w:ascii="Arial" w:hAnsi="Arial" w:cs="Arial"/>
          <w:sz w:val="24"/>
          <w:lang w:val="es-MX"/>
        </w:rPr>
        <w:t xml:space="preserve"> casos pos</w:t>
      </w:r>
      <w:r w:rsidR="00583A9E">
        <w:rPr>
          <w:rFonts w:ascii="Arial" w:hAnsi="Arial" w:cs="Arial"/>
          <w:sz w:val="24"/>
          <w:lang w:val="es-MX"/>
        </w:rPr>
        <w:t>itivos Covid acumulados del 2021</w:t>
      </w:r>
      <w:r w:rsidR="00672BA4">
        <w:rPr>
          <w:rFonts w:ascii="Arial" w:hAnsi="Arial" w:cs="Arial"/>
          <w:sz w:val="24"/>
          <w:lang w:val="es-MX"/>
        </w:rPr>
        <w:t>.</w:t>
      </w:r>
      <w:r w:rsidR="003A1695">
        <w:rPr>
          <w:rFonts w:ascii="Arial" w:hAnsi="Arial" w:cs="Arial"/>
          <w:sz w:val="24"/>
          <w:lang w:val="es-MX"/>
        </w:rPr>
        <w:t xml:space="preserve"> Y 6 Fallecidos acumulados en todo el año.</w:t>
      </w:r>
      <w:r w:rsidR="00583A9E">
        <w:rPr>
          <w:rFonts w:ascii="Arial" w:hAnsi="Arial" w:cs="Arial"/>
          <w:sz w:val="24"/>
          <w:lang w:val="es-MX"/>
        </w:rPr>
        <w:t xml:space="preserve"> Que fueron en primer semestre</w:t>
      </w:r>
    </w:p>
    <w:p w14:paraId="2CD6E0C5" w14:textId="77777777" w:rsidR="00323DB3" w:rsidRDefault="00323DB3" w:rsidP="003B50D3">
      <w:pPr>
        <w:jc w:val="both"/>
        <w:rPr>
          <w:rFonts w:ascii="Arial" w:hAnsi="Arial" w:cs="Arial"/>
          <w:sz w:val="24"/>
          <w:lang w:val="es-MX"/>
        </w:rPr>
      </w:pP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323DB3" w:rsidRPr="00323DB3" w14:paraId="4AD4BF60" w14:textId="77777777" w:rsidTr="00323DB3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84C8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Notificaciones Recibidas al lunes, 11 de julio de 2022</w:t>
            </w:r>
            <w:r w:rsidRPr="00323D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Semana Epidemiológica 52</w:t>
            </w:r>
            <w:r w:rsidRPr="00323D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323D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323DB3" w:rsidRPr="00323DB3" w14:paraId="550FDDFA" w14:textId="77777777" w:rsidTr="00323DB3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5EBEB418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323DB3" w:rsidRPr="00323DB3" w14:paraId="6D02DE86" w14:textId="77777777" w:rsidTr="00323DB3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90D1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8953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2878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4BFB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7B21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47B81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323DB3" w:rsidRPr="00323DB3" w14:paraId="5AD38B25" w14:textId="77777777" w:rsidTr="00323DB3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1FB2A4" w14:textId="77777777" w:rsidR="00323DB3" w:rsidRPr="00323DB3" w:rsidRDefault="00323DB3" w:rsidP="00323DB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151013" w14:textId="77777777" w:rsidR="00323DB3" w:rsidRPr="00323DB3" w:rsidRDefault="00323DB3" w:rsidP="00323DB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8239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6599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94D1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080B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59F9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8657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FD8C20" w14:textId="77777777" w:rsidR="00323DB3" w:rsidRPr="00323DB3" w:rsidRDefault="00323DB3" w:rsidP="00323DB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EF57D44" w14:textId="77777777" w:rsidR="00323DB3" w:rsidRPr="00323DB3" w:rsidRDefault="00323DB3" w:rsidP="00323DB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323DB3" w:rsidRPr="00323DB3" w14:paraId="5E86EF4F" w14:textId="77777777" w:rsidTr="00323DB3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DE496" w14:textId="77777777" w:rsidR="00323DB3" w:rsidRPr="00323DB3" w:rsidRDefault="00323DB3" w:rsidP="00323DB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323DB3" w:rsidRPr="00323DB3" w14:paraId="07C11001" w14:textId="77777777" w:rsidTr="00323DB3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98F7" w14:textId="77777777" w:rsidR="00323DB3" w:rsidRPr="00323DB3" w:rsidRDefault="00605365" w:rsidP="00323DB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2" w:anchor="2!A1" w:tooltip="Ir a COVID 19 Caso Confirmado" w:history="1">
              <w:r w:rsidR="00323DB3" w:rsidRPr="00323DB3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COVID 19 Caso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3D48" w14:textId="77777777" w:rsidR="00323DB3" w:rsidRPr="00323DB3" w:rsidRDefault="00323DB3" w:rsidP="00323D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FCF3F" w14:textId="77777777" w:rsidR="00323DB3" w:rsidRPr="00323DB3" w:rsidRDefault="00323DB3" w:rsidP="00323DB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606F" w14:textId="77777777" w:rsidR="00323DB3" w:rsidRPr="00323DB3" w:rsidRDefault="00323DB3" w:rsidP="00323DB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2CCF" w14:textId="77777777" w:rsidR="00323DB3" w:rsidRPr="00323DB3" w:rsidRDefault="00323DB3" w:rsidP="00323DB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DAAB" w14:textId="77777777" w:rsidR="00323DB3" w:rsidRPr="00323DB3" w:rsidRDefault="00323DB3" w:rsidP="00323DB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80F4" w14:textId="77777777" w:rsidR="00323DB3" w:rsidRPr="00323DB3" w:rsidRDefault="00323DB3" w:rsidP="00323DB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D846" w14:textId="77777777" w:rsidR="00323DB3" w:rsidRPr="00323DB3" w:rsidRDefault="00323DB3" w:rsidP="00323DB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CD3F" w14:textId="77777777" w:rsidR="00323DB3" w:rsidRPr="00323DB3" w:rsidRDefault="00323DB3" w:rsidP="00323DB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CBF3A" w14:textId="77777777" w:rsidR="00323DB3" w:rsidRPr="00323DB3" w:rsidRDefault="00323DB3" w:rsidP="00323DB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23DB3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-27.78</w:t>
            </w:r>
          </w:p>
        </w:tc>
      </w:tr>
    </w:tbl>
    <w:p w14:paraId="4A79ADB9" w14:textId="77777777" w:rsidR="00323DB3" w:rsidRDefault="00323DB3" w:rsidP="003B50D3">
      <w:pPr>
        <w:jc w:val="both"/>
        <w:rPr>
          <w:rFonts w:ascii="Arial" w:hAnsi="Arial" w:cs="Arial"/>
          <w:sz w:val="24"/>
          <w:lang w:val="es-MX"/>
        </w:rPr>
      </w:pPr>
    </w:p>
    <w:p w14:paraId="390A68FA" w14:textId="77777777" w:rsidR="00323DB3" w:rsidRPr="003B50D3" w:rsidRDefault="00323DB3" w:rsidP="003B50D3">
      <w:pPr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A0532F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4A54C7">
        <w:rPr>
          <w:rFonts w:ascii="Arial" w:hAnsi="Arial" w:cs="Arial"/>
          <w:sz w:val="24"/>
          <w:lang w:val="es-NI"/>
        </w:rPr>
        <w:t xml:space="preserve"> En el 2020 el comportamiento ha sido similar en comparación al año pasado</w:t>
      </w:r>
      <w:r w:rsidR="00944E44">
        <w:rPr>
          <w:rFonts w:ascii="Arial" w:hAnsi="Arial" w:cs="Arial"/>
          <w:sz w:val="24"/>
          <w:lang w:val="es-NI"/>
        </w:rPr>
        <w:t>...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9AF0" w14:textId="77777777" w:rsidR="00605365" w:rsidRDefault="00605365" w:rsidP="0097075D">
      <w:pPr>
        <w:spacing w:line="240" w:lineRule="auto"/>
      </w:pPr>
      <w:r>
        <w:separator/>
      </w:r>
    </w:p>
  </w:endnote>
  <w:endnote w:type="continuationSeparator" w:id="0">
    <w:p w14:paraId="7E5B2942" w14:textId="77777777" w:rsidR="00605365" w:rsidRDefault="00605365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E1670" w14:textId="77777777" w:rsidR="00605365" w:rsidRDefault="00605365" w:rsidP="0097075D">
      <w:pPr>
        <w:spacing w:line="240" w:lineRule="auto"/>
      </w:pPr>
      <w:r>
        <w:separator/>
      </w:r>
    </w:p>
  </w:footnote>
  <w:footnote w:type="continuationSeparator" w:id="0">
    <w:p w14:paraId="4A276590" w14:textId="77777777" w:rsidR="00605365" w:rsidRDefault="00605365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04589"/>
    <w:rsid w:val="0001317B"/>
    <w:rsid w:val="000205D9"/>
    <w:rsid w:val="0003779B"/>
    <w:rsid w:val="000443F1"/>
    <w:rsid w:val="00056D29"/>
    <w:rsid w:val="00074D95"/>
    <w:rsid w:val="00080E77"/>
    <w:rsid w:val="00086F54"/>
    <w:rsid w:val="000A08C9"/>
    <w:rsid w:val="000B7B26"/>
    <w:rsid w:val="000C04E5"/>
    <w:rsid w:val="000E2885"/>
    <w:rsid w:val="000E3546"/>
    <w:rsid w:val="000E5936"/>
    <w:rsid w:val="0010475B"/>
    <w:rsid w:val="00126CBE"/>
    <w:rsid w:val="00150C0E"/>
    <w:rsid w:val="00167561"/>
    <w:rsid w:val="001808AF"/>
    <w:rsid w:val="00182515"/>
    <w:rsid w:val="00190961"/>
    <w:rsid w:val="001A4623"/>
    <w:rsid w:val="001B69D7"/>
    <w:rsid w:val="00220EA0"/>
    <w:rsid w:val="002373FE"/>
    <w:rsid w:val="00252276"/>
    <w:rsid w:val="00273E22"/>
    <w:rsid w:val="0029430E"/>
    <w:rsid w:val="00295E0B"/>
    <w:rsid w:val="0031078C"/>
    <w:rsid w:val="00323DB3"/>
    <w:rsid w:val="00330D48"/>
    <w:rsid w:val="003700A1"/>
    <w:rsid w:val="003A1695"/>
    <w:rsid w:val="003B50D3"/>
    <w:rsid w:val="003D1A8D"/>
    <w:rsid w:val="003E5CAB"/>
    <w:rsid w:val="0041133C"/>
    <w:rsid w:val="00443C86"/>
    <w:rsid w:val="0047749D"/>
    <w:rsid w:val="004A54C7"/>
    <w:rsid w:val="004B089F"/>
    <w:rsid w:val="004B4342"/>
    <w:rsid w:val="004B4CFC"/>
    <w:rsid w:val="004C695C"/>
    <w:rsid w:val="0052558C"/>
    <w:rsid w:val="00525D30"/>
    <w:rsid w:val="00574C32"/>
    <w:rsid w:val="00583A9E"/>
    <w:rsid w:val="00590C19"/>
    <w:rsid w:val="00592509"/>
    <w:rsid w:val="005A4C74"/>
    <w:rsid w:val="005A4E51"/>
    <w:rsid w:val="005A55C3"/>
    <w:rsid w:val="005A630D"/>
    <w:rsid w:val="005B7A75"/>
    <w:rsid w:val="00605365"/>
    <w:rsid w:val="006106AE"/>
    <w:rsid w:val="006339FD"/>
    <w:rsid w:val="00636532"/>
    <w:rsid w:val="00646625"/>
    <w:rsid w:val="0067095E"/>
    <w:rsid w:val="00672BA4"/>
    <w:rsid w:val="006B0CCB"/>
    <w:rsid w:val="006B505F"/>
    <w:rsid w:val="0070067F"/>
    <w:rsid w:val="007350E7"/>
    <w:rsid w:val="00765E68"/>
    <w:rsid w:val="00774025"/>
    <w:rsid w:val="00793F4A"/>
    <w:rsid w:val="007A3ECF"/>
    <w:rsid w:val="007E16C5"/>
    <w:rsid w:val="007E459F"/>
    <w:rsid w:val="007F59A4"/>
    <w:rsid w:val="00831423"/>
    <w:rsid w:val="008356A0"/>
    <w:rsid w:val="008554BD"/>
    <w:rsid w:val="008607DC"/>
    <w:rsid w:val="008909AB"/>
    <w:rsid w:val="008A5233"/>
    <w:rsid w:val="008B23A7"/>
    <w:rsid w:val="008D5E8B"/>
    <w:rsid w:val="009044DC"/>
    <w:rsid w:val="00906DC4"/>
    <w:rsid w:val="00916D48"/>
    <w:rsid w:val="0092517A"/>
    <w:rsid w:val="00930F62"/>
    <w:rsid w:val="0093578D"/>
    <w:rsid w:val="00944E44"/>
    <w:rsid w:val="009450CF"/>
    <w:rsid w:val="00965E03"/>
    <w:rsid w:val="0097075D"/>
    <w:rsid w:val="009C3318"/>
    <w:rsid w:val="009D2202"/>
    <w:rsid w:val="009D5347"/>
    <w:rsid w:val="009E497C"/>
    <w:rsid w:val="009E6B9F"/>
    <w:rsid w:val="00A165DA"/>
    <w:rsid w:val="00A25944"/>
    <w:rsid w:val="00A50150"/>
    <w:rsid w:val="00A8454C"/>
    <w:rsid w:val="00AB397F"/>
    <w:rsid w:val="00AB6F24"/>
    <w:rsid w:val="00AD01DC"/>
    <w:rsid w:val="00AD31A6"/>
    <w:rsid w:val="00B16BB5"/>
    <w:rsid w:val="00B43A9C"/>
    <w:rsid w:val="00B52D41"/>
    <w:rsid w:val="00B96598"/>
    <w:rsid w:val="00BE340F"/>
    <w:rsid w:val="00C4004E"/>
    <w:rsid w:val="00C7000E"/>
    <w:rsid w:val="00C76E9B"/>
    <w:rsid w:val="00CA46D1"/>
    <w:rsid w:val="00CC2DA6"/>
    <w:rsid w:val="00CC3454"/>
    <w:rsid w:val="00CC4142"/>
    <w:rsid w:val="00D01A9F"/>
    <w:rsid w:val="00D01CC3"/>
    <w:rsid w:val="00D16887"/>
    <w:rsid w:val="00D2165D"/>
    <w:rsid w:val="00D9168E"/>
    <w:rsid w:val="00DA480F"/>
    <w:rsid w:val="00DD0586"/>
    <w:rsid w:val="00DD393B"/>
    <w:rsid w:val="00DE20CC"/>
    <w:rsid w:val="00DE5A48"/>
    <w:rsid w:val="00E338CF"/>
    <w:rsid w:val="00E65458"/>
    <w:rsid w:val="00EA7AD8"/>
    <w:rsid w:val="00EB606C"/>
    <w:rsid w:val="00EB77AD"/>
    <w:rsid w:val="00F044AE"/>
    <w:rsid w:val="00F05E75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file:///e:\Desktop\Boletin%20Epidemiologico%202020,2021%20Y%202022\2020\SE%20%23%2052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Acumulados:54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,280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 custLinFactNeighborX="88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21032A9-A18C-4D55-9E53-6AC3FC083AB9}" type="presOf" srcId="{04043959-B629-4DE8-8315-DF88C31AFAB0}" destId="{0410D381-D05A-4A9A-AF14-15B59EDC2CE6}" srcOrd="0" destOrd="0" presId="urn:microsoft.com/office/officeart/2008/layout/VerticalCurvedList"/>
    <dgm:cxn modelId="{3ECB5548-D012-4448-86BB-1D70A3B128C7}" type="presOf" srcId="{4D3DA8A8-879B-4BD3-B242-5783B667FE7E}" destId="{0410D381-D05A-4A9A-AF14-15B59EDC2CE6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23F4B4E-301F-4ADF-B8EA-87B59639B9F9}" type="presOf" srcId="{4572347B-FDCC-4D40-955D-0300739469CF}" destId="{6A75484F-6B0A-4CD4-8777-EE2BDC321053}" srcOrd="0" destOrd="0" presId="urn:microsoft.com/office/officeart/2008/layout/VerticalCurvedList"/>
    <dgm:cxn modelId="{871AFF49-AE72-466A-B19F-E0F2E9E26B64}" type="presOf" srcId="{858CFB1C-108B-460C-B456-0D0BFA519988}" destId="{F9CBDA24-6466-4970-BEFD-0C117089F9F4}" srcOrd="0" destOrd="0" presId="urn:microsoft.com/office/officeart/2008/layout/VerticalCurvedList"/>
    <dgm:cxn modelId="{6612C115-3AFC-42CF-B039-0AC52069EE86}" type="presOf" srcId="{677DFF59-DEF3-4FD4-91DD-9882B3D35904}" destId="{89D70A02-B222-4417-8773-EAA434DE1AAD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A39E860C-E397-4957-8A64-873464E85EE0}" type="presOf" srcId="{62096081-9C9D-4636-9D9E-39DE572EE29F}" destId="{6A75484F-6B0A-4CD4-8777-EE2BDC321053}" srcOrd="0" destOrd="1" presId="urn:microsoft.com/office/officeart/2008/layout/VerticalCurvedList"/>
    <dgm:cxn modelId="{68C2539B-0836-4F55-98B6-E37783B7E882}" type="presOf" srcId="{75715167-98A1-43AA-BB9F-C8646048B38B}" destId="{F9CBDA24-6466-4970-BEFD-0C117089F9F4}" srcOrd="0" destOrd="1" presId="urn:microsoft.com/office/officeart/2008/layout/VerticalCurvedList"/>
    <dgm:cxn modelId="{64C06EB9-8903-402C-AE43-33534B97DA05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2101EC8-4BB4-4404-A499-9DE99DA6BC1C}" type="presOf" srcId="{0B79DB07-FEC0-4692-A103-F60B29259690}" destId="{C2F9E7C4-FE48-4ECB-9CBF-4E44E2EAEDA8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8E891210-30AF-4739-A283-DEFE9497B121}" type="presOf" srcId="{73BEB52C-626B-4074-85A0-1C96960ADE8F}" destId="{730F9EC8-06F4-4A71-AB00-79739AEB9676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AE616EFB-E144-4742-B23A-26831618C242}" type="presParOf" srcId="{730F9EC8-06F4-4A71-AB00-79739AEB9676}" destId="{B1C57B43-7763-419A-B9C1-F1802D5EF39B}" srcOrd="0" destOrd="0" presId="urn:microsoft.com/office/officeart/2008/layout/VerticalCurvedList"/>
    <dgm:cxn modelId="{FFA5B0C4-D086-4BD4-97C5-F37D49EB5071}" type="presParOf" srcId="{B1C57B43-7763-419A-B9C1-F1802D5EF39B}" destId="{15586FDF-0390-4468-B1B5-223BD080702F}" srcOrd="0" destOrd="0" presId="urn:microsoft.com/office/officeart/2008/layout/VerticalCurvedList"/>
    <dgm:cxn modelId="{A6DCFCBA-1F4B-4E3F-86EF-46F60DD43B94}" type="presParOf" srcId="{15586FDF-0390-4468-B1B5-223BD080702F}" destId="{50652805-2BE7-40A3-A165-79560558A992}" srcOrd="0" destOrd="0" presId="urn:microsoft.com/office/officeart/2008/layout/VerticalCurvedList"/>
    <dgm:cxn modelId="{54F4C7D3-7F22-40BF-B6F2-799BFC2AE33B}" type="presParOf" srcId="{15586FDF-0390-4468-B1B5-223BD080702F}" destId="{C2F9E7C4-FE48-4ECB-9CBF-4E44E2EAEDA8}" srcOrd="1" destOrd="0" presId="urn:microsoft.com/office/officeart/2008/layout/VerticalCurvedList"/>
    <dgm:cxn modelId="{D9CE69BA-030D-4F99-9E3D-94FBE0FFCEF3}" type="presParOf" srcId="{15586FDF-0390-4468-B1B5-223BD080702F}" destId="{C82C4815-06FD-47A4-939A-1FB267516F78}" srcOrd="2" destOrd="0" presId="urn:microsoft.com/office/officeart/2008/layout/VerticalCurvedList"/>
    <dgm:cxn modelId="{5D86774A-C715-4F80-BCD4-FE94C38E53A3}" type="presParOf" srcId="{15586FDF-0390-4468-B1B5-223BD080702F}" destId="{0A560CEC-DC95-4ED2-B1EE-FFD7C0E8C1DF}" srcOrd="3" destOrd="0" presId="urn:microsoft.com/office/officeart/2008/layout/VerticalCurvedList"/>
    <dgm:cxn modelId="{3BF3FD79-A625-4F63-86F5-11683C7140DA}" type="presParOf" srcId="{B1C57B43-7763-419A-B9C1-F1802D5EF39B}" destId="{0410D381-D05A-4A9A-AF14-15B59EDC2CE6}" srcOrd="1" destOrd="0" presId="urn:microsoft.com/office/officeart/2008/layout/VerticalCurvedList"/>
    <dgm:cxn modelId="{C7CD2DCB-DB38-4F20-9456-05FADAEB046A}" type="presParOf" srcId="{B1C57B43-7763-419A-B9C1-F1802D5EF39B}" destId="{49F37629-B8FA-4356-8347-B8FED195B745}" srcOrd="2" destOrd="0" presId="urn:microsoft.com/office/officeart/2008/layout/VerticalCurvedList"/>
    <dgm:cxn modelId="{C2A5A000-49CE-4797-8438-F4D93A0C40CA}" type="presParOf" srcId="{49F37629-B8FA-4356-8347-B8FED195B745}" destId="{96B94C9A-08A4-4210-B5A1-5DF3C7AD73E2}" srcOrd="0" destOrd="0" presId="urn:microsoft.com/office/officeart/2008/layout/VerticalCurvedList"/>
    <dgm:cxn modelId="{275BD78D-5F01-4222-9462-D5B5BF51C4D6}" type="presParOf" srcId="{B1C57B43-7763-419A-B9C1-F1802D5EF39B}" destId="{F9CBDA24-6466-4970-BEFD-0C117089F9F4}" srcOrd="3" destOrd="0" presId="urn:microsoft.com/office/officeart/2008/layout/VerticalCurvedList"/>
    <dgm:cxn modelId="{823E180E-5376-46DE-B841-34E00CFABF28}" type="presParOf" srcId="{B1C57B43-7763-419A-B9C1-F1802D5EF39B}" destId="{69A9EDD6-5BF7-40AA-825D-8B8E4152B0E8}" srcOrd="4" destOrd="0" presId="urn:microsoft.com/office/officeart/2008/layout/VerticalCurvedList"/>
    <dgm:cxn modelId="{53F4ABAE-59EA-4780-9C4B-81D39A26C06C}" type="presParOf" srcId="{69A9EDD6-5BF7-40AA-825D-8B8E4152B0E8}" destId="{CD780C04-D85D-449B-8D03-46DE662BA124}" srcOrd="0" destOrd="0" presId="urn:microsoft.com/office/officeart/2008/layout/VerticalCurvedList"/>
    <dgm:cxn modelId="{05EA84FE-84EB-4939-92AC-C662FCF605F9}" type="presParOf" srcId="{B1C57B43-7763-419A-B9C1-F1802D5EF39B}" destId="{89D70A02-B222-4417-8773-EAA434DE1AAD}" srcOrd="5" destOrd="0" presId="urn:microsoft.com/office/officeart/2008/layout/VerticalCurvedList"/>
    <dgm:cxn modelId="{87F3AF5A-86C8-43C5-994B-DAC32F8C4354}" type="presParOf" srcId="{B1C57B43-7763-419A-B9C1-F1802D5EF39B}" destId="{19E17D92-41DF-4844-8BA8-2ACDEA294616}" srcOrd="6" destOrd="0" presId="urn:microsoft.com/office/officeart/2008/layout/VerticalCurvedList"/>
    <dgm:cxn modelId="{5B5DC1E7-D75E-4378-9D85-5EFC1B5F4B06}" type="presParOf" srcId="{19E17D92-41DF-4844-8BA8-2ACDEA294616}" destId="{EBA4D1AD-9C90-4F05-80BA-0EC31E42A995}" srcOrd="0" destOrd="0" presId="urn:microsoft.com/office/officeart/2008/layout/VerticalCurvedList"/>
    <dgm:cxn modelId="{0B630D50-EBBF-4CB7-AC4C-CB7681E911CA}" type="presParOf" srcId="{B1C57B43-7763-419A-B9C1-F1802D5EF39B}" destId="{6A75484F-6B0A-4CD4-8777-EE2BDC321053}" srcOrd="7" destOrd="0" presId="urn:microsoft.com/office/officeart/2008/layout/VerticalCurvedList"/>
    <dgm:cxn modelId="{1BE76491-B124-4CB2-B51B-13B38BF8A663}" type="presParOf" srcId="{B1C57B43-7763-419A-B9C1-F1802D5EF39B}" destId="{BAA89B27-0DE4-475E-821C-2A3C402EB16C}" srcOrd="8" destOrd="0" presId="urn:microsoft.com/office/officeart/2008/layout/VerticalCurvedList"/>
    <dgm:cxn modelId="{FE0A7F21-745F-4058-A572-13FEF387F970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Acumulados:54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,280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6848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6848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41</cp:revision>
  <dcterms:created xsi:type="dcterms:W3CDTF">2022-08-01T19:31:00Z</dcterms:created>
  <dcterms:modified xsi:type="dcterms:W3CDTF">2022-08-16T15:44:00Z</dcterms:modified>
</cp:coreProperties>
</file>